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C0C0C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C0C0C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  <w:t>瑞丽市市场监管领域全面推行部门联合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C0C0C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  <w:t>双随机、一公开</w:t>
      </w:r>
      <w:r>
        <w:rPr>
          <w:rFonts w:hint="eastAsia" w:ascii="Times New Roman" w:hAnsi="Times New Roman" w:eastAsia="方正小标宋_GBK" w:cs="Times New Roman"/>
          <w:color w:val="0C0C0C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  <w:t>监管工作联系表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C0C0C"/>
          <w:sz w:val="44"/>
          <w:szCs w:val="44"/>
        </w:rPr>
        <w:t xml:space="preserve"> </w:t>
      </w:r>
    </w:p>
    <w:p>
      <w:pPr>
        <w:rPr>
          <w:rFonts w:hint="default" w:ascii="Times New Roman" w:hAnsi="Times New Roman" w:eastAsia="方正仿宋_GBK" w:cs="Times New Roman"/>
          <w:color w:val="0C0C0C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C0C0C"/>
          <w:sz w:val="32"/>
          <w:szCs w:val="32"/>
        </w:rPr>
        <w:t>单位：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0"/>
        <w:gridCol w:w="30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  <w:t>姓 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  <w:t>职 务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方正小标宋_GBK" w:cs="Times New Roman"/>
                <w:color w:val="0C0C0C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C0C0C"/>
                <w:sz w:val="28"/>
                <w:szCs w:val="28"/>
              </w:rPr>
              <w:t>分管领导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楷体" w:cs="Times New Roman"/>
                <w:color w:val="0C0C0C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color w:val="0C0C0C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C0C0C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0C0C0C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C0C0C"/>
          <w:sz w:val="32"/>
          <w:szCs w:val="32"/>
        </w:rPr>
        <w:t>备注：</w:t>
      </w:r>
      <w:r>
        <w:rPr>
          <w:rFonts w:hint="default" w:ascii="Times New Roman" w:hAnsi="Times New Roman" w:eastAsia="方正仿宋_GBK" w:cs="Times New Roman"/>
          <w:color w:val="0C0C0C"/>
          <w:sz w:val="28"/>
          <w:szCs w:val="28"/>
        </w:rPr>
        <w:t>请各成员单位收文后，通过电子公文反馈至市市场监管局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419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杨世增</cp:lastModifiedBy>
  <dcterms:modified xsi:type="dcterms:W3CDTF">2019-10-22T02:22:56Z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