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_GBK" w:cs="Times New Roman"/>
          <w:bCs/>
          <w:color w:val="000000"/>
          <w:sz w:val="44"/>
          <w:szCs w:val="44"/>
        </w:rPr>
      </w:pPr>
      <w:r>
        <w:rPr>
          <w:rFonts w:ascii="Times New Roman" w:hAnsi="方正小标宋_GBK" w:eastAsia="方正小标宋_GBK" w:cs="Times New Roman"/>
          <w:bCs/>
          <w:color w:val="000000"/>
          <w:sz w:val="44"/>
          <w:szCs w:val="44"/>
        </w:rPr>
        <w:t>瑞丽市姐相乡土地利用总体规划</w:t>
      </w:r>
      <w:r>
        <w:rPr>
          <w:rFonts w:ascii="Times New Roman" w:hAnsi="Times New Roman" w:eastAsia="方正小标宋_GBK" w:cs="Times New Roman"/>
          <w:bCs/>
          <w:color w:val="000000"/>
          <w:sz w:val="44"/>
          <w:szCs w:val="44"/>
        </w:rPr>
        <w:t>（2015-2020</w:t>
      </w:r>
      <w:r>
        <w:rPr>
          <w:rFonts w:ascii="Times New Roman" w:hAnsi="方正小标宋_GBK" w:eastAsia="方正小标宋_GBK" w:cs="Times New Roman"/>
          <w:bCs/>
          <w:color w:val="000000"/>
          <w:sz w:val="44"/>
          <w:szCs w:val="44"/>
        </w:rPr>
        <w:t>年</w:t>
      </w:r>
      <w:r>
        <w:rPr>
          <w:rFonts w:ascii="Times New Roman" w:hAnsi="Times New Roman" w:eastAsia="方正小标宋_GBK" w:cs="Times New Roman"/>
          <w:bCs/>
          <w:color w:val="000000"/>
          <w:sz w:val="44"/>
          <w:szCs w:val="44"/>
        </w:rPr>
        <w:t>）</w:t>
      </w:r>
      <w:r>
        <w:rPr>
          <w:rFonts w:ascii="Times New Roman" w:hAnsi="方正小标宋_GBK" w:eastAsia="方正小标宋_GBK" w:cs="Times New Roman"/>
          <w:bCs/>
          <w:color w:val="000000"/>
          <w:sz w:val="44"/>
          <w:szCs w:val="44"/>
        </w:rPr>
        <w:t>修改方案（第二次修改）</w:t>
      </w:r>
    </w:p>
    <w:p>
      <w:pPr>
        <w:spacing w:line="560" w:lineRule="exact"/>
        <w:jc w:val="center"/>
        <w:rPr>
          <w:rFonts w:ascii="Times New Roman" w:hAnsi="Times New Roman" w:eastAsia="宋体" w:cs="Times New Roman"/>
          <w:b/>
          <w:color w:val="FF0000"/>
          <w:sz w:val="44"/>
          <w:szCs w:val="44"/>
        </w:rPr>
      </w:pP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根据《云南省国土资源厅关于做好土地利用总体规划评估修改相关工作的通知》（云国土资规</w:t>
      </w:r>
      <w:r>
        <w:rPr>
          <w:rFonts w:ascii="Times New Roman" w:hAnsi="Times New Roman" w:eastAsia="仿宋_GB2312" w:cs="Times New Roman"/>
          <w:sz w:val="32"/>
          <w:szCs w:val="32"/>
        </w:rPr>
        <w:t>〔2018〕</w:t>
      </w:r>
      <w:r>
        <w:rPr>
          <w:rFonts w:ascii="Times New Roman" w:hAnsi="Times New Roman" w:eastAsia="方正仿宋_GBK" w:cs="Times New Roman"/>
          <w:color w:val="000000"/>
          <w:sz w:val="32"/>
          <w:szCs w:val="32"/>
        </w:rPr>
        <w:t>278号）、</w:t>
      </w:r>
      <w:r>
        <w:rPr>
          <w:rFonts w:hint="eastAsia" w:ascii="Times New Roman" w:hAnsi="Times New Roman" w:eastAsia="方正仿宋_GBK" w:cs="Times New Roman"/>
          <w:color w:val="000000"/>
          <w:sz w:val="32"/>
          <w:szCs w:val="32"/>
        </w:rPr>
        <w:t>《云南省自然资源厅关于印发规范过渡期规划管理工作指导意见的通知》（云自然资</w:t>
      </w:r>
      <w:r>
        <w:rPr>
          <w:rFonts w:ascii="Times New Roman" w:hAnsi="Times New Roman" w:eastAsia="仿宋_GB2312" w:cs="Times New Roman"/>
          <w:sz w:val="32"/>
          <w:szCs w:val="32"/>
        </w:rPr>
        <w:t>〔201</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w:t>
      </w:r>
      <w:r>
        <w:rPr>
          <w:rFonts w:hint="eastAsia" w:ascii="Times New Roman" w:hAnsi="Times New Roman" w:eastAsia="方正仿宋_GBK" w:cs="Times New Roman"/>
          <w:color w:val="000000"/>
          <w:sz w:val="32"/>
          <w:szCs w:val="32"/>
        </w:rPr>
        <w:t>235号）</w:t>
      </w:r>
      <w:r>
        <w:rPr>
          <w:rFonts w:ascii="Times New Roman" w:hAnsi="Times New Roman" w:eastAsia="方正仿宋_GBK" w:cs="Times New Roman"/>
          <w:color w:val="000000"/>
          <w:sz w:val="32"/>
          <w:szCs w:val="32"/>
        </w:rPr>
        <w:t>相关规定和要求，瑞丽市姐相乡开展了规划评估工作，评估结果显示，瑞丽市姐相乡的耕地保有量、基本农田保护面积大于上级下达指标且用地规模指标执行情况达到了85分以上，并且通过了州级评审，取得州级相关审查意见。因此可以开展瑞丽市姐相乡土地利用总体规划（2015-2020年）第二次修改。</w:t>
      </w:r>
    </w:p>
    <w:p>
      <w:pPr>
        <w:spacing w:line="560" w:lineRule="exact"/>
        <w:ind w:firstLine="720" w:firstLineChars="225"/>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通过规划修改，解决瑞丽市姐相乡近期经济社会发展的用地需求与瑞丽市姐相乡土地利用总体规划（2015-2020年）中安排的用地指标不相符的问题，为瑞丽市姐相乡各类建设项目和实施可持续发展战略提供必要的用地保障，保障各类用地的合法、合规、合理利用，使静态的土地规划与动态管理相结合，有利于进一步发挥土地利用总体规划的统筹管控作用，促进瑞丽市经济社会快速、平稳发展。</w:t>
      </w:r>
    </w:p>
    <w:p>
      <w:pPr>
        <w:spacing w:line="560" w:lineRule="exact"/>
        <w:ind w:firstLine="627" w:firstLineChars="196"/>
        <w:rPr>
          <w:rFonts w:ascii="Times New Roman" w:hAnsi="Times New Roman" w:eastAsia="方正黑体_GBK" w:cs="Times New Roman"/>
          <w:bCs/>
          <w:color w:val="000000"/>
          <w:sz w:val="32"/>
          <w:szCs w:val="32"/>
        </w:rPr>
      </w:pPr>
      <w:r>
        <w:rPr>
          <w:rFonts w:ascii="Times New Roman" w:hAnsi="方正黑体_GBK" w:eastAsia="方正黑体_GBK" w:cs="Times New Roman"/>
          <w:bCs/>
          <w:color w:val="000000"/>
          <w:sz w:val="32"/>
          <w:szCs w:val="32"/>
        </w:rPr>
        <w:t>一、拟建项目及指标需求情况</w:t>
      </w:r>
    </w:p>
    <w:p>
      <w:pPr>
        <w:spacing w:line="560" w:lineRule="exact"/>
        <w:ind w:firstLine="723" w:firstLineChars="225"/>
        <w:rPr>
          <w:rFonts w:ascii="Times New Roman" w:hAnsi="Times New Roman" w:eastAsia="方正仿宋_GBK" w:cs="Times New Roman"/>
          <w:color w:val="000000"/>
          <w:sz w:val="32"/>
          <w:szCs w:val="32"/>
        </w:rPr>
      </w:pPr>
      <w:r>
        <w:rPr>
          <w:rFonts w:ascii="Times New Roman" w:hAnsi="Times New Roman" w:eastAsia="方正仿宋_GBK" w:cs="Times New Roman"/>
          <w:b/>
          <w:bCs/>
          <w:color w:val="000000"/>
          <w:sz w:val="32"/>
          <w:szCs w:val="32"/>
        </w:rPr>
        <w:t>姐相乡：</w:t>
      </w:r>
      <w:r>
        <w:rPr>
          <w:rFonts w:ascii="Times New Roman" w:hAnsi="Times New Roman" w:eastAsia="方正仿宋_GBK" w:cs="Times New Roman"/>
          <w:color w:val="000000"/>
          <w:sz w:val="32"/>
          <w:szCs w:val="32"/>
        </w:rPr>
        <w:t>（1）拟建项目共计</w:t>
      </w:r>
      <w:r>
        <w:rPr>
          <w:rFonts w:hint="eastAsia" w:ascii="Times New Roman" w:hAnsi="Times New Roman" w:eastAsia="方正仿宋_GBK" w:cs="Times New Roman"/>
          <w:color w:val="000000"/>
          <w:sz w:val="32"/>
          <w:szCs w:val="32"/>
        </w:rPr>
        <w:t>2</w:t>
      </w:r>
      <w:r>
        <w:rPr>
          <w:rFonts w:ascii="Times New Roman" w:hAnsi="Times New Roman" w:eastAsia="方正仿宋_GBK" w:cs="Times New Roman"/>
          <w:color w:val="000000"/>
          <w:sz w:val="32"/>
          <w:szCs w:val="32"/>
        </w:rPr>
        <w:t>个，总面积</w:t>
      </w:r>
      <w:r>
        <w:rPr>
          <w:rFonts w:hint="eastAsia" w:ascii="Times New Roman" w:hAnsi="Times New Roman" w:eastAsia="方正仿宋_GBK" w:cs="Times New Roman"/>
          <w:color w:val="000000"/>
          <w:sz w:val="32"/>
          <w:szCs w:val="32"/>
        </w:rPr>
        <w:t>2.84</w:t>
      </w:r>
      <w:r>
        <w:rPr>
          <w:rFonts w:ascii="Times New Roman" w:hAnsi="Times New Roman" w:eastAsia="方正仿宋_GBK" w:cs="Times New Roman"/>
          <w:color w:val="000000"/>
          <w:sz w:val="32"/>
          <w:szCs w:val="32"/>
        </w:rPr>
        <w:t>公顷。（2）调入指标：调入新增建设用地指标</w:t>
      </w:r>
      <w:r>
        <w:rPr>
          <w:rFonts w:hint="eastAsia" w:ascii="Times New Roman" w:hAnsi="Times New Roman" w:eastAsia="方正仿宋_GBK" w:cs="Times New Roman"/>
          <w:color w:val="000000"/>
          <w:sz w:val="32"/>
          <w:szCs w:val="32"/>
        </w:rPr>
        <w:t>2.74</w:t>
      </w:r>
      <w:r>
        <w:rPr>
          <w:rFonts w:ascii="Times New Roman" w:hAnsi="Times New Roman" w:eastAsia="方正仿宋_GBK" w:cs="Times New Roman"/>
          <w:color w:val="000000"/>
          <w:sz w:val="32"/>
          <w:szCs w:val="32"/>
        </w:rPr>
        <w:t>公顷（均为新增城乡建设用地指标），新增建设占用耕地</w:t>
      </w:r>
      <w:r>
        <w:rPr>
          <w:rFonts w:hint="eastAsia" w:ascii="Times New Roman" w:hAnsi="Times New Roman" w:eastAsia="方正仿宋_GBK" w:cs="Times New Roman"/>
          <w:color w:val="000000"/>
          <w:sz w:val="32"/>
          <w:szCs w:val="32"/>
        </w:rPr>
        <w:t>1.79</w:t>
      </w:r>
      <w:r>
        <w:rPr>
          <w:rFonts w:ascii="Times New Roman" w:hAnsi="Times New Roman" w:eastAsia="方正仿宋_GBK" w:cs="Times New Roman"/>
          <w:color w:val="000000"/>
          <w:sz w:val="32"/>
          <w:szCs w:val="32"/>
        </w:rPr>
        <w:t>公顷。（3）调出指标：调出新增建设用地指标</w:t>
      </w:r>
      <w:r>
        <w:rPr>
          <w:rFonts w:hint="eastAsia" w:ascii="Times New Roman" w:hAnsi="Times New Roman" w:eastAsia="方正仿宋_GBK" w:cs="Times New Roman"/>
          <w:color w:val="000000"/>
          <w:sz w:val="32"/>
          <w:szCs w:val="32"/>
        </w:rPr>
        <w:t>2.74</w:t>
      </w:r>
      <w:r>
        <w:rPr>
          <w:rFonts w:ascii="Times New Roman" w:hAnsi="Times New Roman" w:eastAsia="方正仿宋_GBK" w:cs="Times New Roman"/>
          <w:color w:val="000000"/>
          <w:sz w:val="32"/>
          <w:szCs w:val="32"/>
        </w:rPr>
        <w:t>公顷（均为新增城乡建设用地指标），新增建设占用耕地</w:t>
      </w:r>
      <w:r>
        <w:rPr>
          <w:rFonts w:hint="eastAsia" w:ascii="Times New Roman" w:hAnsi="Times New Roman" w:eastAsia="方正仿宋_GBK" w:cs="Times New Roman"/>
          <w:color w:val="000000"/>
          <w:sz w:val="32"/>
          <w:szCs w:val="32"/>
        </w:rPr>
        <w:t>0.52</w:t>
      </w:r>
      <w:r>
        <w:rPr>
          <w:rFonts w:ascii="Times New Roman" w:hAnsi="Times New Roman" w:eastAsia="方正仿宋_GBK" w:cs="Times New Roman"/>
          <w:color w:val="000000"/>
          <w:sz w:val="32"/>
          <w:szCs w:val="32"/>
        </w:rPr>
        <w:t>公顷。</w:t>
      </w:r>
    </w:p>
    <w:p>
      <w:pPr>
        <w:spacing w:line="560" w:lineRule="exact"/>
        <w:ind w:firstLine="627" w:firstLineChars="196"/>
        <w:rPr>
          <w:rFonts w:ascii="Times New Roman" w:hAnsi="Times New Roman" w:eastAsia="方正黑体_GBK" w:cs="Times New Roman"/>
          <w:bCs/>
          <w:color w:val="000000"/>
          <w:sz w:val="32"/>
          <w:szCs w:val="32"/>
        </w:rPr>
      </w:pPr>
      <w:r>
        <w:rPr>
          <w:rFonts w:ascii="Times New Roman" w:hAnsi="方正黑体_GBK" w:eastAsia="方正黑体_GBK" w:cs="Times New Roman"/>
          <w:bCs/>
          <w:color w:val="000000"/>
          <w:sz w:val="32"/>
          <w:szCs w:val="32"/>
        </w:rPr>
        <w:t>二、指标来源情况</w:t>
      </w:r>
    </w:p>
    <w:p>
      <w:pPr>
        <w:spacing w:line="560" w:lineRule="exact"/>
        <w:ind w:firstLine="720" w:firstLineChars="225"/>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本次规划修改，姐相乡拟建项目的用地指标需求在本乡内部平衡，其中：新增建设用地指标存在</w:t>
      </w:r>
      <w:r>
        <w:rPr>
          <w:rFonts w:hint="eastAsia" w:ascii="Times New Roman" w:hAnsi="Times New Roman" w:eastAsia="方正仿宋_GBK" w:cs="Times New Roman"/>
          <w:color w:val="000000"/>
          <w:sz w:val="32"/>
          <w:szCs w:val="32"/>
        </w:rPr>
        <w:t>2.74</w:t>
      </w:r>
      <w:r>
        <w:rPr>
          <w:rFonts w:ascii="Times New Roman" w:hAnsi="Times New Roman" w:eastAsia="方正仿宋_GBK" w:cs="Times New Roman"/>
          <w:color w:val="000000"/>
          <w:sz w:val="32"/>
          <w:szCs w:val="32"/>
        </w:rPr>
        <w:t>公顷缺口，均为新增城乡建设用地指标，新增建设占用耕地指标存在</w:t>
      </w:r>
      <w:r>
        <w:rPr>
          <w:rFonts w:hint="eastAsia" w:ascii="Times New Roman" w:hAnsi="Times New Roman" w:eastAsia="方正仿宋_GBK" w:cs="Times New Roman"/>
          <w:color w:val="000000"/>
          <w:sz w:val="32"/>
          <w:szCs w:val="32"/>
        </w:rPr>
        <w:t>1.79</w:t>
      </w:r>
      <w:r>
        <w:rPr>
          <w:rFonts w:ascii="Times New Roman" w:hAnsi="Times New Roman" w:eastAsia="方正仿宋_GBK" w:cs="Times New Roman"/>
          <w:color w:val="000000"/>
          <w:sz w:val="32"/>
          <w:szCs w:val="32"/>
        </w:rPr>
        <w:t>公顷缺口。</w:t>
      </w:r>
    </w:p>
    <w:p>
      <w:pPr>
        <w:spacing w:line="560" w:lineRule="exact"/>
        <w:ind w:firstLine="720" w:firstLineChars="225"/>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经统计，姐相乡调出新增建设用地指标</w:t>
      </w:r>
      <w:r>
        <w:rPr>
          <w:rFonts w:hint="eastAsia" w:ascii="Times New Roman" w:hAnsi="Times New Roman" w:eastAsia="方正仿宋_GBK" w:cs="Times New Roman"/>
          <w:color w:val="000000"/>
          <w:sz w:val="32"/>
          <w:szCs w:val="32"/>
        </w:rPr>
        <w:t>2.74</w:t>
      </w:r>
      <w:r>
        <w:rPr>
          <w:rFonts w:ascii="Times New Roman" w:hAnsi="Times New Roman" w:eastAsia="方正仿宋_GBK" w:cs="Times New Roman"/>
          <w:color w:val="000000"/>
          <w:sz w:val="32"/>
          <w:szCs w:val="32"/>
        </w:rPr>
        <w:t>公顷，均为城乡建设用地，新增建设占用耕地指标</w:t>
      </w:r>
      <w:r>
        <w:rPr>
          <w:rFonts w:hint="eastAsia" w:ascii="Times New Roman" w:hAnsi="Times New Roman" w:eastAsia="方正仿宋_GBK" w:cs="Times New Roman"/>
          <w:color w:val="000000"/>
          <w:sz w:val="32"/>
          <w:szCs w:val="32"/>
        </w:rPr>
        <w:t>0.52</w:t>
      </w:r>
      <w:r>
        <w:rPr>
          <w:rFonts w:ascii="Times New Roman" w:hAnsi="Times New Roman" w:eastAsia="方正仿宋_GBK" w:cs="Times New Roman"/>
          <w:color w:val="000000"/>
          <w:sz w:val="32"/>
          <w:szCs w:val="32"/>
        </w:rPr>
        <w:t>公顷。</w:t>
      </w:r>
    </w:p>
    <w:p>
      <w:pPr>
        <w:spacing w:line="560" w:lineRule="exact"/>
        <w:ind w:firstLine="720" w:firstLineChars="225"/>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通过对比分析，调出项目指标可满足姐相乡的指标需求。</w:t>
      </w:r>
    </w:p>
    <w:p>
      <w:pPr>
        <w:spacing w:line="560" w:lineRule="exact"/>
        <w:ind w:firstLine="627" w:firstLineChars="196"/>
        <w:rPr>
          <w:rFonts w:ascii="Times New Roman" w:hAnsi="Times New Roman" w:eastAsia="方正黑体_GBK" w:cs="Times New Roman"/>
          <w:bCs/>
          <w:color w:val="000000"/>
          <w:sz w:val="32"/>
          <w:szCs w:val="32"/>
        </w:rPr>
      </w:pPr>
      <w:r>
        <w:rPr>
          <w:rFonts w:ascii="Times New Roman" w:hAnsi="方正黑体_GBK" w:eastAsia="方正黑体_GBK" w:cs="Times New Roman"/>
          <w:bCs/>
          <w:color w:val="000000"/>
          <w:sz w:val="32"/>
          <w:szCs w:val="32"/>
        </w:rPr>
        <w:t>三、结论</w:t>
      </w:r>
    </w:p>
    <w:p>
      <w:pPr>
        <w:spacing w:line="560" w:lineRule="exact"/>
        <w:ind w:firstLine="627" w:firstLineChars="196"/>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规划修改后，瑞丽市及姐相乡的耕地保有量、基本农田保护面积、建设用地总规模、城乡建设用地规模、新增建设用地总规模以及新增建设用地占用耕地面积均未突破上级下达指标，各项指标均符合规划修改要求。因此，本规划修改方案具备可行性。</w:t>
      </w:r>
    </w:p>
    <w:p>
      <w:pPr>
        <w:spacing w:line="560" w:lineRule="exact"/>
        <w:ind w:firstLine="640"/>
        <w:rPr>
          <w:rFonts w:ascii="Times New Roman" w:hAnsi="Times New Roman" w:eastAsia="方正仿宋_GBK" w:cs="Times New Roman"/>
          <w:color w:val="000000"/>
          <w:sz w:val="32"/>
          <w:szCs w:val="32"/>
        </w:rPr>
      </w:pPr>
    </w:p>
    <w:p>
      <w:pPr>
        <w:spacing w:line="56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附件：</w:t>
      </w:r>
    </w:p>
    <w:p>
      <w:pPr>
        <w:spacing w:line="56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表1      瑞丽市姐相乡各类指标调入调出情况表</w:t>
      </w:r>
    </w:p>
    <w:p>
      <w:pPr>
        <w:spacing w:line="56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表2      瑞丽市姐相乡建设项目修改情况表</w:t>
      </w:r>
    </w:p>
    <w:p>
      <w:pPr>
        <w:spacing w:line="560" w:lineRule="exact"/>
        <w:ind w:firstLine="560"/>
        <w:rPr>
          <w:rFonts w:ascii="Times New Roman" w:hAnsi="Times New Roman" w:eastAsia="方正仿宋_GBK" w:cs="Times New Roman"/>
          <w:color w:val="000000"/>
          <w:sz w:val="32"/>
          <w:szCs w:val="32"/>
        </w:rPr>
      </w:pPr>
    </w:p>
    <w:p>
      <w:pPr>
        <w:spacing w:line="560" w:lineRule="exact"/>
        <w:ind w:firstLine="640"/>
        <w:rPr>
          <w:rFonts w:ascii="Times New Roman" w:hAnsi="Times New Roman" w:eastAsia="方正仿宋_GBK" w:cs="Times New Roman"/>
          <w:color w:val="FF0000"/>
          <w:sz w:val="32"/>
          <w:szCs w:val="32"/>
        </w:rPr>
        <w:sectPr>
          <w:footerReference r:id="rId3" w:type="default"/>
          <w:footerReference r:id="rId4" w:type="even"/>
          <w:pgSz w:w="12240" w:h="15840"/>
          <w:pgMar w:top="1440" w:right="1531" w:bottom="1440" w:left="1531" w:header="720" w:footer="720" w:gutter="0"/>
          <w:cols w:space="720" w:num="1"/>
        </w:sectPr>
      </w:pPr>
      <w:r>
        <w:rPr>
          <w:rFonts w:ascii="Times New Roman" w:hAnsi="Times New Roman" w:eastAsia="方正仿宋_GBK" w:cs="Times New Roman"/>
          <w:color w:val="000000"/>
          <w:sz w:val="32"/>
          <w:szCs w:val="32"/>
        </w:rPr>
        <w:t xml:space="preserve">                          </w:t>
      </w:r>
    </w:p>
    <w:p>
      <w:pPr>
        <w:spacing w:line="560" w:lineRule="exact"/>
        <w:ind w:firstLine="64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附表1    瑞丽市姐相乡各类指标调入调出情况表</w:t>
      </w:r>
    </w:p>
    <w:p>
      <w:pPr>
        <w:spacing w:line="560" w:lineRule="exact"/>
        <w:ind w:firstLine="640"/>
        <w:jc w:val="right"/>
        <w:rPr>
          <w:rFonts w:hint="eastAsia" w:ascii="Times New Roman" w:hAnsi="Times New Roman" w:eastAsia="仿宋_GB2312" w:cs="Times New Roman"/>
          <w:color w:val="000000"/>
          <w:sz w:val="24"/>
        </w:rPr>
      </w:pPr>
      <w:r>
        <w:rPr>
          <w:rFonts w:ascii="Times New Roman" w:hAnsi="Times New Roman" w:eastAsia="仿宋_GB2312" w:cs="Times New Roman"/>
          <w:color w:val="000000"/>
          <w:sz w:val="24"/>
        </w:rPr>
        <w:t>单位：公顷</w:t>
      </w:r>
    </w:p>
    <w:tbl>
      <w:tblPr>
        <w:tblStyle w:val="2"/>
        <w:tblW w:w="5000" w:type="pct"/>
        <w:tblInd w:w="0" w:type="dxa"/>
        <w:tblLayout w:type="autofit"/>
        <w:tblCellMar>
          <w:top w:w="0" w:type="dxa"/>
          <w:left w:w="108" w:type="dxa"/>
          <w:bottom w:w="0" w:type="dxa"/>
          <w:right w:w="108" w:type="dxa"/>
        </w:tblCellMar>
      </w:tblPr>
      <w:tblGrid>
        <w:gridCol w:w="1666"/>
        <w:gridCol w:w="2379"/>
        <w:gridCol w:w="1733"/>
        <w:gridCol w:w="1780"/>
        <w:gridCol w:w="1836"/>
      </w:tblGrid>
      <w:tr>
        <w:tblPrEx>
          <w:tblCellMar>
            <w:top w:w="0" w:type="dxa"/>
            <w:left w:w="108" w:type="dxa"/>
            <w:bottom w:w="0" w:type="dxa"/>
            <w:right w:w="108" w:type="dxa"/>
          </w:tblCellMar>
        </w:tblPrEx>
        <w:trPr>
          <w:trHeight w:val="300" w:hRule="atLeast"/>
        </w:trPr>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调整乡镇</w:t>
            </w:r>
          </w:p>
        </w:tc>
        <w:tc>
          <w:tcPr>
            <w:tcW w:w="126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调整类型</w:t>
            </w:r>
          </w:p>
        </w:tc>
        <w:tc>
          <w:tcPr>
            <w:tcW w:w="92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调入面积</w:t>
            </w:r>
          </w:p>
        </w:tc>
        <w:tc>
          <w:tcPr>
            <w:tcW w:w="94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调出面积</w:t>
            </w:r>
          </w:p>
        </w:tc>
        <w:tc>
          <w:tcPr>
            <w:tcW w:w="97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变化量</w:t>
            </w:r>
          </w:p>
        </w:tc>
      </w:tr>
      <w:tr>
        <w:tblPrEx>
          <w:tblCellMar>
            <w:top w:w="0" w:type="dxa"/>
            <w:left w:w="108" w:type="dxa"/>
            <w:bottom w:w="0" w:type="dxa"/>
            <w:right w:w="108" w:type="dxa"/>
          </w:tblCellMar>
        </w:tblPrEx>
        <w:trPr>
          <w:trHeight w:val="300" w:hRule="atLeast"/>
        </w:trPr>
        <w:tc>
          <w:tcPr>
            <w:tcW w:w="887"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姐相乡</w:t>
            </w:r>
          </w:p>
        </w:tc>
        <w:tc>
          <w:tcPr>
            <w:tcW w:w="1266"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新增建设用地</w:t>
            </w:r>
          </w:p>
        </w:tc>
        <w:tc>
          <w:tcPr>
            <w:tcW w:w="9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2.74 </w:t>
            </w:r>
          </w:p>
        </w:tc>
        <w:tc>
          <w:tcPr>
            <w:tcW w:w="94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2.74</w:t>
            </w:r>
          </w:p>
        </w:tc>
        <w:tc>
          <w:tcPr>
            <w:tcW w:w="97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 </w:t>
            </w:r>
          </w:p>
        </w:tc>
      </w:tr>
      <w:tr>
        <w:tblPrEx>
          <w:tblCellMar>
            <w:top w:w="0" w:type="dxa"/>
            <w:left w:w="108" w:type="dxa"/>
            <w:bottom w:w="0" w:type="dxa"/>
            <w:right w:w="108" w:type="dxa"/>
          </w:tblCellMar>
        </w:tblPrEx>
        <w:trPr>
          <w:trHeight w:val="300" w:hRule="atLeast"/>
        </w:trPr>
        <w:tc>
          <w:tcPr>
            <w:tcW w:w="887"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266"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城乡建设用地</w:t>
            </w:r>
          </w:p>
        </w:tc>
        <w:tc>
          <w:tcPr>
            <w:tcW w:w="9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2.74 </w:t>
            </w:r>
          </w:p>
        </w:tc>
        <w:tc>
          <w:tcPr>
            <w:tcW w:w="94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2.74</w:t>
            </w:r>
          </w:p>
        </w:tc>
        <w:tc>
          <w:tcPr>
            <w:tcW w:w="97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 </w:t>
            </w:r>
          </w:p>
        </w:tc>
      </w:tr>
      <w:tr>
        <w:tblPrEx>
          <w:tblCellMar>
            <w:top w:w="0" w:type="dxa"/>
            <w:left w:w="108" w:type="dxa"/>
            <w:bottom w:w="0" w:type="dxa"/>
            <w:right w:w="108" w:type="dxa"/>
          </w:tblCellMar>
        </w:tblPrEx>
        <w:trPr>
          <w:trHeight w:val="300" w:hRule="atLeast"/>
        </w:trPr>
        <w:tc>
          <w:tcPr>
            <w:tcW w:w="887"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266"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新增建设占用耕地</w:t>
            </w:r>
          </w:p>
        </w:tc>
        <w:tc>
          <w:tcPr>
            <w:tcW w:w="9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1.79 </w:t>
            </w:r>
          </w:p>
        </w:tc>
        <w:tc>
          <w:tcPr>
            <w:tcW w:w="94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0.52</w:t>
            </w:r>
          </w:p>
        </w:tc>
        <w:tc>
          <w:tcPr>
            <w:tcW w:w="97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1.27 </w:t>
            </w:r>
          </w:p>
        </w:tc>
      </w:tr>
    </w:tbl>
    <w:p>
      <w:pPr>
        <w:spacing w:line="560" w:lineRule="exact"/>
        <w:ind w:firstLine="640"/>
        <w:jc w:val="left"/>
        <w:rPr>
          <w:rFonts w:hint="eastAsia" w:ascii="Times New Roman" w:hAnsi="Times New Roman" w:eastAsia="仿宋_GB2312" w:cs="Times New Roman"/>
          <w:color w:val="000000"/>
          <w:sz w:val="24"/>
        </w:rPr>
      </w:pPr>
    </w:p>
    <w:p>
      <w:pPr>
        <w:spacing w:line="560" w:lineRule="exact"/>
        <w:ind w:firstLine="640"/>
        <w:rPr>
          <w:rFonts w:ascii="Times New Roman" w:hAnsi="Times New Roman" w:eastAsia="仿宋_GB2312" w:cs="Times New Roman"/>
          <w:color w:val="000000"/>
          <w:sz w:val="28"/>
          <w:szCs w:val="28"/>
        </w:rPr>
        <w:sectPr>
          <w:pgSz w:w="12240" w:h="15840"/>
          <w:pgMar w:top="1440" w:right="1531" w:bottom="1440" w:left="1531" w:header="720" w:footer="720" w:gutter="0"/>
          <w:cols w:space="720" w:num="1"/>
        </w:sectPr>
      </w:pPr>
      <w:bookmarkStart w:id="0" w:name="_GoBack"/>
      <w:bookmarkEnd w:id="0"/>
    </w:p>
    <w:p>
      <w:pPr>
        <w:spacing w:line="560" w:lineRule="exact"/>
        <w:ind w:firstLine="640"/>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附表2      瑞丽市姐相乡建设项目修改情况表</w:t>
      </w:r>
    </w:p>
    <w:p>
      <w:pPr>
        <w:spacing w:line="560" w:lineRule="exact"/>
        <w:ind w:firstLine="640"/>
        <w:jc w:val="right"/>
        <w:rPr>
          <w:rFonts w:hint="eastAsia" w:ascii="Times New Roman" w:hAnsi="Times New Roman" w:eastAsia="仿宋_GB2312" w:cs="Times New Roman"/>
          <w:color w:val="000000"/>
          <w:sz w:val="24"/>
        </w:rPr>
      </w:pPr>
      <w:r>
        <w:rPr>
          <w:rFonts w:ascii="Times New Roman" w:hAnsi="Times New Roman" w:eastAsia="仿宋_GB2312" w:cs="Times New Roman"/>
          <w:color w:val="000000"/>
          <w:sz w:val="24"/>
        </w:rPr>
        <w:t>单位：公顷</w:t>
      </w:r>
    </w:p>
    <w:tbl>
      <w:tblPr>
        <w:tblStyle w:val="2"/>
        <w:tblW w:w="6473" w:type="pct"/>
        <w:jc w:val="center"/>
        <w:tblLayout w:type="fixed"/>
        <w:tblCellMar>
          <w:top w:w="0" w:type="dxa"/>
          <w:left w:w="108" w:type="dxa"/>
          <w:bottom w:w="0" w:type="dxa"/>
          <w:right w:w="108" w:type="dxa"/>
        </w:tblCellMar>
      </w:tblPr>
      <w:tblGrid>
        <w:gridCol w:w="972"/>
        <w:gridCol w:w="853"/>
        <w:gridCol w:w="707"/>
        <w:gridCol w:w="1300"/>
        <w:gridCol w:w="788"/>
        <w:gridCol w:w="1317"/>
        <w:gridCol w:w="1132"/>
        <w:gridCol w:w="1132"/>
        <w:gridCol w:w="1134"/>
        <w:gridCol w:w="1699"/>
      </w:tblGrid>
      <w:tr>
        <w:tblPrEx>
          <w:tblCellMar>
            <w:top w:w="0" w:type="dxa"/>
            <w:left w:w="108" w:type="dxa"/>
            <w:bottom w:w="0" w:type="dxa"/>
            <w:right w:w="108" w:type="dxa"/>
          </w:tblCellMar>
        </w:tblPrEx>
        <w:trPr>
          <w:trHeight w:val="283" w:hRule="atLeast"/>
          <w:tblHeader/>
          <w:jc w:val="center"/>
        </w:trPr>
        <w:tc>
          <w:tcPr>
            <w:tcW w:w="4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项目类型</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项目名称</w:t>
            </w:r>
          </w:p>
        </w:tc>
        <w:tc>
          <w:tcPr>
            <w:tcW w:w="3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建设性质</w:t>
            </w:r>
          </w:p>
        </w:tc>
        <w:tc>
          <w:tcPr>
            <w:tcW w:w="58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建设年限</w:t>
            </w:r>
          </w:p>
        </w:tc>
        <w:tc>
          <w:tcPr>
            <w:tcW w:w="1466"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规划期间实际执行</w:t>
            </w:r>
          </w:p>
        </w:tc>
        <w:tc>
          <w:tcPr>
            <w:tcW w:w="5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涉及县乡</w:t>
            </w:r>
          </w:p>
        </w:tc>
        <w:tc>
          <w:tcPr>
            <w:tcW w:w="51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备注</w:t>
            </w:r>
          </w:p>
        </w:tc>
        <w:tc>
          <w:tcPr>
            <w:tcW w:w="76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指标来源及使用情况</w:t>
            </w:r>
          </w:p>
        </w:tc>
      </w:tr>
      <w:tr>
        <w:tblPrEx>
          <w:tblCellMar>
            <w:top w:w="0" w:type="dxa"/>
            <w:left w:w="108" w:type="dxa"/>
            <w:bottom w:w="0" w:type="dxa"/>
            <w:right w:w="108" w:type="dxa"/>
          </w:tblCellMar>
        </w:tblPrEx>
        <w:trPr>
          <w:trHeight w:val="283" w:hRule="atLeast"/>
          <w:tblHeader/>
          <w:jc w:val="center"/>
        </w:trPr>
        <w:tc>
          <w:tcPr>
            <w:tcW w:w="440"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386"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320"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58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35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总规模</w:t>
            </w:r>
          </w:p>
        </w:tc>
        <w:tc>
          <w:tcPr>
            <w:tcW w:w="59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其中新增建设用地</w:t>
            </w:r>
          </w:p>
        </w:tc>
        <w:tc>
          <w:tcPr>
            <w:tcW w:w="51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其中占用耕地</w:t>
            </w: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51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76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283" w:hRule="atLeast"/>
          <w:jc w:val="center"/>
        </w:trPr>
        <w:tc>
          <w:tcPr>
            <w:tcW w:w="440" w:type="pct"/>
            <w:tcBorders>
              <w:top w:val="nil"/>
              <w:left w:val="single" w:color="auto" w:sz="4" w:space="0"/>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1、其他</w:t>
            </w:r>
          </w:p>
        </w:tc>
        <w:tc>
          <w:tcPr>
            <w:tcW w:w="386" w:type="pct"/>
            <w:tcBorders>
              <w:top w:val="nil"/>
              <w:left w:val="single" w:color="auto" w:sz="4" w:space="0"/>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垃圾转运站</w:t>
            </w:r>
          </w:p>
        </w:tc>
        <w:tc>
          <w:tcPr>
            <w:tcW w:w="320" w:type="pct"/>
            <w:tcBorders>
              <w:top w:val="nil"/>
              <w:left w:val="single" w:color="auto" w:sz="4" w:space="0"/>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新建</w:t>
            </w:r>
          </w:p>
        </w:tc>
        <w:tc>
          <w:tcPr>
            <w:tcW w:w="589" w:type="pct"/>
            <w:tcBorders>
              <w:top w:val="nil"/>
              <w:left w:val="single" w:color="auto" w:sz="4" w:space="0"/>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2018-2020</w:t>
            </w:r>
          </w:p>
        </w:tc>
        <w:tc>
          <w:tcPr>
            <w:tcW w:w="357" w:type="pct"/>
            <w:tcBorders>
              <w:top w:val="nil"/>
              <w:left w:val="single" w:color="auto" w:sz="4" w:space="0"/>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0.33</w:t>
            </w:r>
          </w:p>
        </w:tc>
        <w:tc>
          <w:tcPr>
            <w:tcW w:w="59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0.28</w:t>
            </w:r>
          </w:p>
        </w:tc>
        <w:tc>
          <w:tcPr>
            <w:tcW w:w="51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0.28</w:t>
            </w:r>
          </w:p>
        </w:tc>
        <w:tc>
          <w:tcPr>
            <w:tcW w:w="51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瑞丽市姐相乡</w:t>
            </w:r>
          </w:p>
        </w:tc>
        <w:tc>
          <w:tcPr>
            <w:tcW w:w="51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增加城乡建设用地</w:t>
            </w:r>
          </w:p>
        </w:tc>
        <w:tc>
          <w:tcPr>
            <w:tcW w:w="76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使用本乡镇贺腮加油站调出城乡建设用地指标</w:t>
            </w:r>
          </w:p>
        </w:tc>
      </w:tr>
      <w:tr>
        <w:tblPrEx>
          <w:tblCellMar>
            <w:top w:w="0" w:type="dxa"/>
            <w:left w:w="108" w:type="dxa"/>
            <w:bottom w:w="0" w:type="dxa"/>
            <w:right w:w="108" w:type="dxa"/>
          </w:tblCellMar>
        </w:tblPrEx>
        <w:trPr>
          <w:trHeight w:val="283" w:hRule="atLeast"/>
          <w:jc w:val="center"/>
        </w:trPr>
        <w:tc>
          <w:tcPr>
            <w:tcW w:w="440" w:type="pct"/>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2、其他</w:t>
            </w:r>
          </w:p>
        </w:tc>
        <w:tc>
          <w:tcPr>
            <w:tcW w:w="386"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一寨两国外合作开发地块</w:t>
            </w:r>
          </w:p>
        </w:tc>
        <w:tc>
          <w:tcPr>
            <w:tcW w:w="320" w:type="pct"/>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新建</w:t>
            </w:r>
          </w:p>
        </w:tc>
        <w:tc>
          <w:tcPr>
            <w:tcW w:w="589" w:type="pct"/>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2018-2020</w:t>
            </w:r>
          </w:p>
        </w:tc>
        <w:tc>
          <w:tcPr>
            <w:tcW w:w="357" w:type="pct"/>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2.51</w:t>
            </w:r>
          </w:p>
        </w:tc>
        <w:tc>
          <w:tcPr>
            <w:tcW w:w="59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1.49</w:t>
            </w:r>
          </w:p>
        </w:tc>
        <w:tc>
          <w:tcPr>
            <w:tcW w:w="51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51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瑞丽市姐相乡</w:t>
            </w:r>
          </w:p>
        </w:tc>
        <w:tc>
          <w:tcPr>
            <w:tcW w:w="51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增加城乡建设用地</w:t>
            </w:r>
          </w:p>
        </w:tc>
        <w:tc>
          <w:tcPr>
            <w:tcW w:w="76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使用本乡镇跨境地物疫病区域化管理试点项目境内隔离场调出城乡建设用地指标</w:t>
            </w:r>
          </w:p>
        </w:tc>
      </w:tr>
      <w:tr>
        <w:tblPrEx>
          <w:tblCellMar>
            <w:top w:w="0" w:type="dxa"/>
            <w:left w:w="108" w:type="dxa"/>
            <w:bottom w:w="0" w:type="dxa"/>
            <w:right w:w="108" w:type="dxa"/>
          </w:tblCellMar>
        </w:tblPrEx>
        <w:trPr>
          <w:trHeight w:val="283" w:hRule="atLeast"/>
          <w:jc w:val="center"/>
        </w:trPr>
        <w:tc>
          <w:tcPr>
            <w:tcW w:w="440" w:type="pct"/>
            <w:vMerge w:val="continue"/>
            <w:tcBorders>
              <w:top w:val="single" w:color="auto" w:sz="4" w:space="0"/>
              <w:left w:val="single" w:color="auto" w:sz="4" w:space="0"/>
              <w:bottom w:val="nil"/>
              <w:right w:val="single" w:color="auto" w:sz="4" w:space="0"/>
            </w:tcBorders>
            <w:vAlign w:val="center"/>
          </w:tcPr>
          <w:p>
            <w:pPr>
              <w:widowControl/>
              <w:jc w:val="center"/>
              <w:rPr>
                <w:rFonts w:ascii="Times New Roman" w:hAnsi="Times New Roman" w:eastAsia="仿宋_GB2312" w:cs="Times New Roman"/>
                <w:kern w:val="0"/>
                <w:szCs w:val="21"/>
              </w:rPr>
            </w:pPr>
          </w:p>
        </w:tc>
        <w:tc>
          <w:tcPr>
            <w:tcW w:w="386" w:type="pct"/>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320" w:type="pct"/>
            <w:vMerge w:val="continue"/>
            <w:tcBorders>
              <w:top w:val="single" w:color="auto" w:sz="4" w:space="0"/>
              <w:left w:val="single" w:color="auto" w:sz="4" w:space="0"/>
              <w:bottom w:val="nil"/>
              <w:right w:val="single" w:color="auto" w:sz="4" w:space="0"/>
            </w:tcBorders>
            <w:vAlign w:val="center"/>
          </w:tcPr>
          <w:p>
            <w:pPr>
              <w:widowControl/>
              <w:jc w:val="center"/>
              <w:rPr>
                <w:rFonts w:ascii="Times New Roman" w:hAnsi="Times New Roman" w:eastAsia="仿宋_GB2312" w:cs="Times New Roman"/>
                <w:kern w:val="0"/>
                <w:szCs w:val="21"/>
              </w:rPr>
            </w:pPr>
          </w:p>
        </w:tc>
        <w:tc>
          <w:tcPr>
            <w:tcW w:w="589" w:type="pct"/>
            <w:vMerge w:val="continue"/>
            <w:tcBorders>
              <w:top w:val="single" w:color="auto" w:sz="4" w:space="0"/>
              <w:left w:val="single" w:color="auto" w:sz="4" w:space="0"/>
              <w:bottom w:val="nil"/>
              <w:right w:val="single" w:color="auto" w:sz="4" w:space="0"/>
            </w:tcBorders>
            <w:vAlign w:val="center"/>
          </w:tcPr>
          <w:p>
            <w:pPr>
              <w:widowControl/>
              <w:jc w:val="center"/>
              <w:rPr>
                <w:rFonts w:ascii="Times New Roman" w:hAnsi="Times New Roman" w:eastAsia="仿宋_GB2312" w:cs="Times New Roman"/>
                <w:kern w:val="0"/>
                <w:szCs w:val="21"/>
              </w:rPr>
            </w:pPr>
          </w:p>
        </w:tc>
        <w:tc>
          <w:tcPr>
            <w:tcW w:w="357" w:type="pct"/>
            <w:vMerge w:val="continue"/>
            <w:tcBorders>
              <w:top w:val="single" w:color="auto" w:sz="4" w:space="0"/>
              <w:left w:val="single" w:color="auto" w:sz="4" w:space="0"/>
              <w:bottom w:val="nil"/>
              <w:right w:val="single" w:color="auto" w:sz="4" w:space="0"/>
            </w:tcBorders>
            <w:vAlign w:val="center"/>
          </w:tcPr>
          <w:p>
            <w:pPr>
              <w:widowControl/>
              <w:jc w:val="center"/>
              <w:rPr>
                <w:rFonts w:ascii="Times New Roman" w:hAnsi="Times New Roman" w:eastAsia="仿宋_GB2312" w:cs="Times New Roman"/>
                <w:kern w:val="0"/>
                <w:szCs w:val="21"/>
              </w:rPr>
            </w:pPr>
          </w:p>
        </w:tc>
        <w:tc>
          <w:tcPr>
            <w:tcW w:w="59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0.07</w:t>
            </w:r>
          </w:p>
        </w:tc>
        <w:tc>
          <w:tcPr>
            <w:tcW w:w="51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51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瑞丽市姐相乡</w:t>
            </w:r>
          </w:p>
        </w:tc>
        <w:tc>
          <w:tcPr>
            <w:tcW w:w="51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增加城乡建设用地</w:t>
            </w:r>
          </w:p>
        </w:tc>
        <w:tc>
          <w:tcPr>
            <w:tcW w:w="76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使用本乡镇云南荣久牧业有限公司调出城乡建设用地指标</w:t>
            </w:r>
          </w:p>
        </w:tc>
      </w:tr>
      <w:tr>
        <w:tblPrEx>
          <w:tblCellMar>
            <w:top w:w="0" w:type="dxa"/>
            <w:left w:w="108" w:type="dxa"/>
            <w:bottom w:w="0" w:type="dxa"/>
            <w:right w:w="108" w:type="dxa"/>
          </w:tblCellMar>
        </w:tblPrEx>
        <w:trPr>
          <w:trHeight w:val="283" w:hRule="atLeast"/>
          <w:jc w:val="center"/>
        </w:trPr>
        <w:tc>
          <w:tcPr>
            <w:tcW w:w="440" w:type="pct"/>
            <w:vMerge w:val="continue"/>
            <w:tcBorders>
              <w:top w:val="single" w:color="auto" w:sz="4" w:space="0"/>
              <w:left w:val="single" w:color="auto" w:sz="4" w:space="0"/>
              <w:bottom w:val="nil"/>
              <w:right w:val="single" w:color="auto" w:sz="4" w:space="0"/>
            </w:tcBorders>
            <w:vAlign w:val="center"/>
          </w:tcPr>
          <w:p>
            <w:pPr>
              <w:widowControl/>
              <w:jc w:val="center"/>
              <w:rPr>
                <w:rFonts w:ascii="Times New Roman" w:hAnsi="Times New Roman" w:eastAsia="仿宋_GB2312" w:cs="Times New Roman"/>
                <w:kern w:val="0"/>
                <w:szCs w:val="21"/>
              </w:rPr>
            </w:pPr>
          </w:p>
        </w:tc>
        <w:tc>
          <w:tcPr>
            <w:tcW w:w="386" w:type="pct"/>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320" w:type="pct"/>
            <w:vMerge w:val="continue"/>
            <w:tcBorders>
              <w:top w:val="single" w:color="auto" w:sz="4" w:space="0"/>
              <w:left w:val="single" w:color="auto" w:sz="4" w:space="0"/>
              <w:bottom w:val="nil"/>
              <w:right w:val="single" w:color="auto" w:sz="4" w:space="0"/>
            </w:tcBorders>
            <w:vAlign w:val="center"/>
          </w:tcPr>
          <w:p>
            <w:pPr>
              <w:widowControl/>
              <w:jc w:val="center"/>
              <w:rPr>
                <w:rFonts w:ascii="Times New Roman" w:hAnsi="Times New Roman" w:eastAsia="仿宋_GB2312" w:cs="Times New Roman"/>
                <w:kern w:val="0"/>
                <w:szCs w:val="21"/>
              </w:rPr>
            </w:pPr>
          </w:p>
        </w:tc>
        <w:tc>
          <w:tcPr>
            <w:tcW w:w="589" w:type="pct"/>
            <w:vMerge w:val="continue"/>
            <w:tcBorders>
              <w:top w:val="single" w:color="auto" w:sz="4" w:space="0"/>
              <w:left w:val="single" w:color="auto" w:sz="4" w:space="0"/>
              <w:bottom w:val="nil"/>
              <w:right w:val="single" w:color="auto" w:sz="4" w:space="0"/>
            </w:tcBorders>
            <w:vAlign w:val="center"/>
          </w:tcPr>
          <w:p>
            <w:pPr>
              <w:widowControl/>
              <w:jc w:val="center"/>
              <w:rPr>
                <w:rFonts w:ascii="Times New Roman" w:hAnsi="Times New Roman" w:eastAsia="仿宋_GB2312" w:cs="Times New Roman"/>
                <w:kern w:val="0"/>
                <w:szCs w:val="21"/>
              </w:rPr>
            </w:pPr>
          </w:p>
        </w:tc>
        <w:tc>
          <w:tcPr>
            <w:tcW w:w="357" w:type="pct"/>
            <w:vMerge w:val="continue"/>
            <w:tcBorders>
              <w:top w:val="single" w:color="auto" w:sz="4" w:space="0"/>
              <w:left w:val="single" w:color="auto" w:sz="4" w:space="0"/>
              <w:bottom w:val="nil"/>
              <w:right w:val="single" w:color="auto" w:sz="4" w:space="0"/>
            </w:tcBorders>
            <w:vAlign w:val="center"/>
          </w:tcPr>
          <w:p>
            <w:pPr>
              <w:widowControl/>
              <w:jc w:val="center"/>
              <w:rPr>
                <w:rFonts w:ascii="Times New Roman" w:hAnsi="Times New Roman" w:eastAsia="仿宋_GB2312" w:cs="Times New Roman"/>
                <w:kern w:val="0"/>
                <w:szCs w:val="21"/>
              </w:rPr>
            </w:pPr>
          </w:p>
        </w:tc>
        <w:tc>
          <w:tcPr>
            <w:tcW w:w="59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0.19</w:t>
            </w:r>
          </w:p>
        </w:tc>
        <w:tc>
          <w:tcPr>
            <w:tcW w:w="51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0.19</w:t>
            </w:r>
          </w:p>
        </w:tc>
        <w:tc>
          <w:tcPr>
            <w:tcW w:w="51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瑞丽市姐相乡</w:t>
            </w:r>
          </w:p>
        </w:tc>
        <w:tc>
          <w:tcPr>
            <w:tcW w:w="51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增加城乡建设用地</w:t>
            </w:r>
          </w:p>
        </w:tc>
        <w:tc>
          <w:tcPr>
            <w:tcW w:w="76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使用本乡镇贺腮加油站调出城乡建设用地指标</w:t>
            </w:r>
          </w:p>
        </w:tc>
      </w:tr>
      <w:tr>
        <w:tblPrEx>
          <w:tblCellMar>
            <w:top w:w="0" w:type="dxa"/>
            <w:left w:w="108" w:type="dxa"/>
            <w:bottom w:w="0" w:type="dxa"/>
            <w:right w:w="108" w:type="dxa"/>
          </w:tblCellMar>
        </w:tblPrEx>
        <w:trPr>
          <w:trHeight w:val="283" w:hRule="atLeast"/>
          <w:jc w:val="center"/>
        </w:trPr>
        <w:tc>
          <w:tcPr>
            <w:tcW w:w="440" w:type="pct"/>
            <w:vMerge w:val="continue"/>
            <w:tcBorders>
              <w:top w:val="single" w:color="auto" w:sz="4" w:space="0"/>
              <w:left w:val="single" w:color="auto" w:sz="4" w:space="0"/>
              <w:bottom w:val="nil"/>
              <w:right w:val="single" w:color="auto" w:sz="4" w:space="0"/>
            </w:tcBorders>
            <w:vAlign w:val="center"/>
          </w:tcPr>
          <w:p>
            <w:pPr>
              <w:widowControl/>
              <w:jc w:val="center"/>
              <w:rPr>
                <w:rFonts w:ascii="Times New Roman" w:hAnsi="Times New Roman" w:eastAsia="仿宋_GB2312" w:cs="Times New Roman"/>
                <w:kern w:val="0"/>
                <w:szCs w:val="21"/>
              </w:rPr>
            </w:pPr>
          </w:p>
        </w:tc>
        <w:tc>
          <w:tcPr>
            <w:tcW w:w="386" w:type="pct"/>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320" w:type="pct"/>
            <w:vMerge w:val="continue"/>
            <w:tcBorders>
              <w:top w:val="single" w:color="auto" w:sz="4" w:space="0"/>
              <w:left w:val="single" w:color="auto" w:sz="4" w:space="0"/>
              <w:bottom w:val="nil"/>
              <w:right w:val="single" w:color="auto" w:sz="4" w:space="0"/>
            </w:tcBorders>
            <w:vAlign w:val="center"/>
          </w:tcPr>
          <w:p>
            <w:pPr>
              <w:widowControl/>
              <w:jc w:val="center"/>
              <w:rPr>
                <w:rFonts w:ascii="Times New Roman" w:hAnsi="Times New Roman" w:eastAsia="仿宋_GB2312" w:cs="Times New Roman"/>
                <w:kern w:val="0"/>
                <w:szCs w:val="21"/>
              </w:rPr>
            </w:pPr>
          </w:p>
        </w:tc>
        <w:tc>
          <w:tcPr>
            <w:tcW w:w="589" w:type="pct"/>
            <w:vMerge w:val="continue"/>
            <w:tcBorders>
              <w:top w:val="single" w:color="auto" w:sz="4" w:space="0"/>
              <w:left w:val="single" w:color="auto" w:sz="4" w:space="0"/>
              <w:bottom w:val="nil"/>
              <w:right w:val="single" w:color="auto" w:sz="4" w:space="0"/>
            </w:tcBorders>
            <w:vAlign w:val="center"/>
          </w:tcPr>
          <w:p>
            <w:pPr>
              <w:widowControl/>
              <w:jc w:val="center"/>
              <w:rPr>
                <w:rFonts w:ascii="Times New Roman" w:hAnsi="Times New Roman" w:eastAsia="仿宋_GB2312" w:cs="Times New Roman"/>
                <w:kern w:val="0"/>
                <w:szCs w:val="21"/>
              </w:rPr>
            </w:pPr>
          </w:p>
        </w:tc>
        <w:tc>
          <w:tcPr>
            <w:tcW w:w="357" w:type="pct"/>
            <w:vMerge w:val="continue"/>
            <w:tcBorders>
              <w:top w:val="single" w:color="auto" w:sz="4" w:space="0"/>
              <w:left w:val="single" w:color="auto" w:sz="4" w:space="0"/>
              <w:bottom w:val="nil"/>
              <w:right w:val="single" w:color="auto" w:sz="4" w:space="0"/>
            </w:tcBorders>
            <w:vAlign w:val="center"/>
          </w:tcPr>
          <w:p>
            <w:pPr>
              <w:widowControl/>
              <w:jc w:val="center"/>
              <w:rPr>
                <w:rFonts w:ascii="Times New Roman" w:hAnsi="Times New Roman" w:eastAsia="仿宋_GB2312" w:cs="Times New Roman"/>
                <w:kern w:val="0"/>
                <w:szCs w:val="21"/>
              </w:rPr>
            </w:pPr>
          </w:p>
        </w:tc>
        <w:tc>
          <w:tcPr>
            <w:tcW w:w="59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0.60</w:t>
            </w:r>
          </w:p>
        </w:tc>
        <w:tc>
          <w:tcPr>
            <w:tcW w:w="51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51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瑞丽市姐相乡</w:t>
            </w:r>
          </w:p>
        </w:tc>
        <w:tc>
          <w:tcPr>
            <w:tcW w:w="51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增加城乡建设用地</w:t>
            </w:r>
          </w:p>
        </w:tc>
        <w:tc>
          <w:tcPr>
            <w:tcW w:w="76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使用本乡镇贺腮分场加油站调出城乡建设用地指标</w:t>
            </w:r>
          </w:p>
        </w:tc>
      </w:tr>
      <w:tr>
        <w:tblPrEx>
          <w:tblCellMar>
            <w:top w:w="0" w:type="dxa"/>
            <w:left w:w="108" w:type="dxa"/>
            <w:bottom w:w="0" w:type="dxa"/>
            <w:right w:w="108" w:type="dxa"/>
          </w:tblCellMar>
        </w:tblPrEx>
        <w:trPr>
          <w:trHeight w:val="283" w:hRule="atLeast"/>
          <w:jc w:val="center"/>
        </w:trPr>
        <w:tc>
          <w:tcPr>
            <w:tcW w:w="440" w:type="pct"/>
            <w:vMerge w:val="continue"/>
            <w:tcBorders>
              <w:top w:val="single" w:color="auto" w:sz="4" w:space="0"/>
              <w:left w:val="single" w:color="auto" w:sz="4" w:space="0"/>
              <w:bottom w:val="nil"/>
              <w:right w:val="single" w:color="auto" w:sz="4" w:space="0"/>
            </w:tcBorders>
            <w:vAlign w:val="center"/>
          </w:tcPr>
          <w:p>
            <w:pPr>
              <w:widowControl/>
              <w:jc w:val="center"/>
              <w:rPr>
                <w:rFonts w:ascii="Times New Roman" w:hAnsi="Times New Roman" w:eastAsia="仿宋_GB2312" w:cs="Times New Roman"/>
                <w:kern w:val="0"/>
                <w:szCs w:val="21"/>
              </w:rPr>
            </w:pPr>
          </w:p>
        </w:tc>
        <w:tc>
          <w:tcPr>
            <w:tcW w:w="386" w:type="pct"/>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320" w:type="pct"/>
            <w:vMerge w:val="continue"/>
            <w:tcBorders>
              <w:top w:val="single" w:color="auto" w:sz="4" w:space="0"/>
              <w:left w:val="single" w:color="auto" w:sz="4" w:space="0"/>
              <w:bottom w:val="nil"/>
              <w:right w:val="single" w:color="auto" w:sz="4" w:space="0"/>
            </w:tcBorders>
            <w:vAlign w:val="center"/>
          </w:tcPr>
          <w:p>
            <w:pPr>
              <w:widowControl/>
              <w:jc w:val="center"/>
              <w:rPr>
                <w:rFonts w:ascii="Times New Roman" w:hAnsi="Times New Roman" w:eastAsia="仿宋_GB2312" w:cs="Times New Roman"/>
                <w:kern w:val="0"/>
                <w:szCs w:val="21"/>
              </w:rPr>
            </w:pPr>
          </w:p>
        </w:tc>
        <w:tc>
          <w:tcPr>
            <w:tcW w:w="589" w:type="pct"/>
            <w:vMerge w:val="continue"/>
            <w:tcBorders>
              <w:top w:val="single" w:color="auto" w:sz="4" w:space="0"/>
              <w:left w:val="single" w:color="auto" w:sz="4" w:space="0"/>
              <w:bottom w:val="nil"/>
              <w:right w:val="single" w:color="auto" w:sz="4" w:space="0"/>
            </w:tcBorders>
            <w:vAlign w:val="center"/>
          </w:tcPr>
          <w:p>
            <w:pPr>
              <w:widowControl/>
              <w:jc w:val="center"/>
              <w:rPr>
                <w:rFonts w:ascii="Times New Roman" w:hAnsi="Times New Roman" w:eastAsia="仿宋_GB2312" w:cs="Times New Roman"/>
                <w:kern w:val="0"/>
                <w:szCs w:val="21"/>
              </w:rPr>
            </w:pPr>
          </w:p>
        </w:tc>
        <w:tc>
          <w:tcPr>
            <w:tcW w:w="357" w:type="pct"/>
            <w:vMerge w:val="continue"/>
            <w:tcBorders>
              <w:top w:val="single" w:color="auto" w:sz="4" w:space="0"/>
              <w:left w:val="single" w:color="auto" w:sz="4" w:space="0"/>
              <w:bottom w:val="nil"/>
              <w:right w:val="single" w:color="auto" w:sz="4" w:space="0"/>
            </w:tcBorders>
            <w:vAlign w:val="center"/>
          </w:tcPr>
          <w:p>
            <w:pPr>
              <w:widowControl/>
              <w:jc w:val="center"/>
              <w:rPr>
                <w:rFonts w:ascii="Times New Roman" w:hAnsi="Times New Roman" w:eastAsia="仿宋_GB2312" w:cs="Times New Roman"/>
                <w:kern w:val="0"/>
                <w:szCs w:val="21"/>
              </w:rPr>
            </w:pPr>
          </w:p>
        </w:tc>
        <w:tc>
          <w:tcPr>
            <w:tcW w:w="59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0.06</w:t>
            </w:r>
          </w:p>
        </w:tc>
        <w:tc>
          <w:tcPr>
            <w:tcW w:w="51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51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瑞丽市姐相乡</w:t>
            </w:r>
          </w:p>
        </w:tc>
        <w:tc>
          <w:tcPr>
            <w:tcW w:w="51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增加城乡建设用地</w:t>
            </w:r>
          </w:p>
        </w:tc>
        <w:tc>
          <w:tcPr>
            <w:tcW w:w="76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使用本乡镇瑞丽市九丰粮油有限责任公司调出城乡建设用地指标</w:t>
            </w:r>
          </w:p>
        </w:tc>
      </w:tr>
      <w:tr>
        <w:tblPrEx>
          <w:tblCellMar>
            <w:top w:w="0" w:type="dxa"/>
            <w:left w:w="108" w:type="dxa"/>
            <w:bottom w:w="0" w:type="dxa"/>
            <w:right w:w="108" w:type="dxa"/>
          </w:tblCellMar>
        </w:tblPrEx>
        <w:trPr>
          <w:trHeight w:val="283" w:hRule="atLeast"/>
          <w:jc w:val="center"/>
        </w:trPr>
        <w:tc>
          <w:tcPr>
            <w:tcW w:w="440" w:type="pct"/>
            <w:vMerge w:val="continue"/>
            <w:tcBorders>
              <w:top w:val="single" w:color="auto" w:sz="4" w:space="0"/>
              <w:left w:val="single" w:color="auto" w:sz="4" w:space="0"/>
              <w:bottom w:val="nil"/>
              <w:right w:val="single" w:color="auto" w:sz="4" w:space="0"/>
            </w:tcBorders>
            <w:vAlign w:val="center"/>
          </w:tcPr>
          <w:p>
            <w:pPr>
              <w:widowControl/>
              <w:jc w:val="center"/>
              <w:rPr>
                <w:rFonts w:ascii="Times New Roman" w:hAnsi="Times New Roman" w:eastAsia="仿宋_GB2312" w:cs="Times New Roman"/>
                <w:kern w:val="0"/>
                <w:szCs w:val="21"/>
              </w:rPr>
            </w:pPr>
          </w:p>
        </w:tc>
        <w:tc>
          <w:tcPr>
            <w:tcW w:w="386" w:type="pct"/>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320" w:type="pct"/>
            <w:vMerge w:val="continue"/>
            <w:tcBorders>
              <w:top w:val="single" w:color="auto" w:sz="4" w:space="0"/>
              <w:left w:val="single" w:color="auto" w:sz="4" w:space="0"/>
              <w:bottom w:val="nil"/>
              <w:right w:val="single" w:color="auto" w:sz="4" w:space="0"/>
            </w:tcBorders>
            <w:vAlign w:val="center"/>
          </w:tcPr>
          <w:p>
            <w:pPr>
              <w:widowControl/>
              <w:jc w:val="center"/>
              <w:rPr>
                <w:rFonts w:ascii="Times New Roman" w:hAnsi="Times New Roman" w:eastAsia="仿宋_GB2312" w:cs="Times New Roman"/>
                <w:kern w:val="0"/>
                <w:szCs w:val="21"/>
              </w:rPr>
            </w:pPr>
          </w:p>
        </w:tc>
        <w:tc>
          <w:tcPr>
            <w:tcW w:w="589" w:type="pct"/>
            <w:vMerge w:val="continue"/>
            <w:tcBorders>
              <w:top w:val="single" w:color="auto" w:sz="4" w:space="0"/>
              <w:left w:val="single" w:color="auto" w:sz="4" w:space="0"/>
              <w:bottom w:val="nil"/>
              <w:right w:val="single" w:color="auto" w:sz="4" w:space="0"/>
            </w:tcBorders>
            <w:vAlign w:val="center"/>
          </w:tcPr>
          <w:p>
            <w:pPr>
              <w:widowControl/>
              <w:jc w:val="center"/>
              <w:rPr>
                <w:rFonts w:ascii="Times New Roman" w:hAnsi="Times New Roman" w:eastAsia="仿宋_GB2312" w:cs="Times New Roman"/>
                <w:kern w:val="0"/>
                <w:szCs w:val="21"/>
              </w:rPr>
            </w:pPr>
          </w:p>
        </w:tc>
        <w:tc>
          <w:tcPr>
            <w:tcW w:w="357" w:type="pct"/>
            <w:vMerge w:val="continue"/>
            <w:tcBorders>
              <w:top w:val="single" w:color="auto" w:sz="4" w:space="0"/>
              <w:left w:val="single" w:color="auto" w:sz="4" w:space="0"/>
              <w:bottom w:val="nil"/>
              <w:right w:val="single" w:color="auto" w:sz="4" w:space="0"/>
            </w:tcBorders>
            <w:vAlign w:val="center"/>
          </w:tcPr>
          <w:p>
            <w:pPr>
              <w:widowControl/>
              <w:jc w:val="center"/>
              <w:rPr>
                <w:rFonts w:ascii="Times New Roman" w:hAnsi="Times New Roman" w:eastAsia="仿宋_GB2312" w:cs="Times New Roman"/>
                <w:kern w:val="0"/>
                <w:szCs w:val="21"/>
              </w:rPr>
            </w:pPr>
          </w:p>
        </w:tc>
        <w:tc>
          <w:tcPr>
            <w:tcW w:w="59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0.05</w:t>
            </w:r>
          </w:p>
        </w:tc>
        <w:tc>
          <w:tcPr>
            <w:tcW w:w="51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1.32</w:t>
            </w:r>
          </w:p>
        </w:tc>
        <w:tc>
          <w:tcPr>
            <w:tcW w:w="51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瑞丽市姐相乡</w:t>
            </w:r>
          </w:p>
        </w:tc>
        <w:tc>
          <w:tcPr>
            <w:tcW w:w="51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增加城乡建设用地</w:t>
            </w:r>
          </w:p>
        </w:tc>
        <w:tc>
          <w:tcPr>
            <w:tcW w:w="76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使用本乡镇顺哈加油站调出城乡建设用地指标</w:t>
            </w:r>
          </w:p>
        </w:tc>
      </w:tr>
      <w:tr>
        <w:tblPrEx>
          <w:tblCellMar>
            <w:top w:w="0" w:type="dxa"/>
            <w:left w:w="108" w:type="dxa"/>
            <w:bottom w:w="0" w:type="dxa"/>
            <w:right w:w="108" w:type="dxa"/>
          </w:tblCellMar>
        </w:tblPrEx>
        <w:trPr>
          <w:trHeight w:val="283" w:hRule="atLeast"/>
          <w:jc w:val="center"/>
        </w:trPr>
        <w:tc>
          <w:tcPr>
            <w:tcW w:w="82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2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58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5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2.84</w:t>
            </w:r>
          </w:p>
        </w:tc>
        <w:tc>
          <w:tcPr>
            <w:tcW w:w="596"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2.74</w:t>
            </w:r>
          </w:p>
        </w:tc>
        <w:tc>
          <w:tcPr>
            <w:tcW w:w="512"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1.79</w:t>
            </w:r>
          </w:p>
        </w:tc>
        <w:tc>
          <w:tcPr>
            <w:tcW w:w="51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51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76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r>
    </w:tbl>
    <w:p>
      <w:pPr>
        <w:spacing w:line="560" w:lineRule="exact"/>
        <w:ind w:firstLine="640"/>
        <w:jc w:val="left"/>
        <w:rPr>
          <w:rFonts w:hint="eastAsia" w:ascii="Times New Roman" w:hAnsi="Times New Roman" w:eastAsia="仿宋_GB2312" w:cs="Times New Roman"/>
          <w:color w:val="000000"/>
          <w:sz w:val="24"/>
        </w:rPr>
      </w:pPr>
    </w:p>
    <w:p>
      <w:pPr>
        <w:spacing w:line="560" w:lineRule="exact"/>
        <w:ind w:firstLine="640"/>
        <w:jc w:val="left"/>
        <w:rPr>
          <w:rFonts w:ascii="Times New Roman" w:hAnsi="Times New Roman" w:eastAsia="仿宋_GB2312" w:cs="Times New Roman"/>
          <w:color w:val="000000"/>
          <w:sz w:val="24"/>
        </w:rPr>
      </w:pPr>
    </w:p>
    <w:p>
      <w:pPr>
        <w:adjustRightInd w:val="0"/>
        <w:snapToGrid w:val="0"/>
        <w:spacing w:line="560" w:lineRule="exact"/>
        <w:rPr>
          <w:rFonts w:ascii="Times New Roman" w:hAnsi="Times New Roman" w:eastAsia="方正仿宋_GBK"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snapToGrid w:val="0"/>
      <w:jc w:val="left"/>
      <w:rPr>
        <w:rStyle w:val="4"/>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Style w:val="4"/>
        <w:rFonts w:ascii="Times New Roman" w:hAnsi="Times New Roman" w:eastAsia="宋体" w:cs="Times New Roman"/>
        <w:sz w:val="18"/>
        <w:szCs w:val="18"/>
      </w:rPr>
      <w:instrText xml:space="preserve">PAGE  </w:instrText>
    </w:r>
    <w:r>
      <w:rPr>
        <w:rFonts w:ascii="Times New Roman" w:hAnsi="Times New Roman" w:eastAsia="宋体" w:cs="Times New Roman"/>
        <w:sz w:val="18"/>
        <w:szCs w:val="18"/>
      </w:rPr>
      <w:fldChar w:fldCharType="separate"/>
    </w:r>
    <w:r>
      <w:rPr>
        <w:rStyle w:val="4"/>
        <w:rFonts w:ascii="Times New Roman" w:hAnsi="Times New Roman" w:eastAsia="宋体" w:cs="Times New Roman"/>
        <w:sz w:val="18"/>
        <w:szCs w:val="18"/>
      </w:rPr>
      <w:t>1</w:t>
    </w:r>
    <w:r>
      <w:rPr>
        <w:rFonts w:ascii="Times New Roman" w:hAnsi="Times New Roman" w:eastAsia="宋体" w:cs="Times New Roman"/>
        <w:sz w:val="18"/>
        <w:szCs w:val="18"/>
      </w:rPr>
      <w:fldChar w:fldCharType="end"/>
    </w:r>
  </w:p>
  <w:p>
    <w:pPr>
      <w:snapToGrid w:val="0"/>
      <w:ind w:right="360" w:firstLine="360"/>
      <w:jc w:val="left"/>
      <w:rPr>
        <w:rFonts w:ascii="Times New Roman" w:hAnsi="Times New Roman"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snapToGrid w:val="0"/>
      <w:jc w:val="left"/>
      <w:rPr>
        <w:rStyle w:val="4"/>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Style w:val="4"/>
        <w:rFonts w:ascii="Times New Roman" w:hAnsi="Times New Roman" w:eastAsia="宋体" w:cs="Times New Roman"/>
        <w:sz w:val="18"/>
        <w:szCs w:val="18"/>
      </w:rPr>
      <w:instrText xml:space="preserve">PAGE  </w:instrText>
    </w:r>
    <w:r>
      <w:rPr>
        <w:rFonts w:ascii="Times New Roman" w:hAnsi="Times New Roman" w:eastAsia="宋体" w:cs="Times New Roman"/>
        <w:sz w:val="18"/>
        <w:szCs w:val="18"/>
      </w:rPr>
      <w:fldChar w:fldCharType="end"/>
    </w:r>
  </w:p>
  <w:p>
    <w:pPr>
      <w:snapToGrid w:val="0"/>
      <w:ind w:right="360" w:firstLine="360"/>
      <w:jc w:val="left"/>
      <w:rPr>
        <w:rFonts w:ascii="Times New Roman" w:hAnsi="Times New Roman" w:eastAsia="宋体" w:cs="Times New Roman"/>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ED057A"/>
    <w:rsid w:val="1FED057A"/>
    <w:rsid w:val="23711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1</Pages>
  <Words>0</Words>
  <Characters>0</Characters>
  <Lines>0</Lines>
  <Paragraphs>0</Paragraphs>
  <TotalTime>5</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2020-06-01T06:50:00Z</dcterms:created>
  <dc:creator>刘晓晓</dc:creator>
  <cp:lastModifiedBy>Administrator</cp:lastModifiedBy>
  <dcterms:modified xsi:type="dcterms:W3CDTF">2020-06-01T07:16:23Z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