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bCs/>
          <w:color w:val="000000"/>
          <w:sz w:val="44"/>
          <w:szCs w:val="44"/>
        </w:rPr>
      </w:pPr>
      <w:r>
        <w:rPr>
          <w:rFonts w:ascii="Times New Roman" w:hAnsi="方正小标宋_GBK" w:eastAsia="方正小标宋_GBK" w:cs="Times New Roman"/>
          <w:bCs/>
          <w:color w:val="000000"/>
          <w:sz w:val="44"/>
          <w:szCs w:val="44"/>
        </w:rPr>
        <w:t>瑞丽市勐卯镇土地利用总体规划</w:t>
      </w:r>
      <w:r>
        <w:rPr>
          <w:rFonts w:ascii="Times New Roman" w:hAnsi="Times New Roman" w:eastAsia="方正小标宋_GBK" w:cs="Times New Roman"/>
          <w:bCs/>
          <w:color w:val="000000"/>
          <w:sz w:val="44"/>
          <w:szCs w:val="44"/>
        </w:rPr>
        <w:t>(2015-2020</w:t>
      </w:r>
      <w:r>
        <w:rPr>
          <w:rFonts w:ascii="Times New Roman" w:hAnsi="方正小标宋_GBK" w:eastAsia="方正小标宋_GBK" w:cs="Times New Roman"/>
          <w:bCs/>
          <w:color w:val="000000"/>
          <w:sz w:val="44"/>
          <w:szCs w:val="44"/>
        </w:rPr>
        <w:t>年</w:t>
      </w:r>
      <w:r>
        <w:rPr>
          <w:rFonts w:ascii="Times New Roman" w:hAnsi="Times New Roman" w:eastAsia="方正小标宋_GBK" w:cs="Times New Roman"/>
          <w:bCs/>
          <w:color w:val="000000"/>
          <w:sz w:val="44"/>
          <w:szCs w:val="44"/>
        </w:rPr>
        <w:t>)</w:t>
      </w:r>
      <w:r>
        <w:rPr>
          <w:rFonts w:ascii="Times New Roman" w:hAnsi="方正小标宋_GBK" w:eastAsia="方正小标宋_GBK" w:cs="Times New Roman"/>
          <w:bCs/>
          <w:color w:val="000000"/>
          <w:sz w:val="44"/>
          <w:szCs w:val="44"/>
        </w:rPr>
        <w:t>修改方案（第二次修改）</w:t>
      </w:r>
    </w:p>
    <w:p>
      <w:pPr>
        <w:spacing w:line="560" w:lineRule="exact"/>
        <w:jc w:val="center"/>
        <w:rPr>
          <w:rFonts w:ascii="Times New Roman" w:hAnsi="Times New Roman" w:eastAsia="宋体" w:cs="Times New Roman"/>
          <w:b/>
          <w:color w:val="FF0000"/>
          <w:sz w:val="44"/>
          <w:szCs w:val="44"/>
        </w:rPr>
      </w:pP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根据《云南省国土资源厅关于做好土地利用总体规划评估修改相关工作的通知》（云国土资规</w:t>
      </w:r>
      <w:r>
        <w:rPr>
          <w:rFonts w:ascii="Times New Roman" w:hAnsi="Times New Roman" w:eastAsia="仿宋_GB2312" w:cs="Times New Roman"/>
          <w:sz w:val="32"/>
          <w:szCs w:val="32"/>
        </w:rPr>
        <w:t>〔2018〕</w:t>
      </w:r>
      <w:r>
        <w:rPr>
          <w:rFonts w:ascii="Times New Roman" w:hAnsi="Times New Roman" w:eastAsia="方正仿宋_GBK" w:cs="Times New Roman"/>
          <w:color w:val="000000"/>
          <w:sz w:val="32"/>
          <w:szCs w:val="32"/>
        </w:rPr>
        <w:t>278号）、</w:t>
      </w:r>
      <w:r>
        <w:rPr>
          <w:rFonts w:hint="eastAsia" w:ascii="Times New Roman" w:hAnsi="Times New Roman" w:eastAsia="方正仿宋_GBK" w:cs="Times New Roman"/>
          <w:color w:val="000000"/>
          <w:sz w:val="32"/>
          <w:szCs w:val="32"/>
        </w:rPr>
        <w:t>《云南省自然资源厅关于印发规范过渡期规划管理工作指导意见的通知》（云自然资</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方正仿宋_GBK" w:cs="Times New Roman"/>
          <w:color w:val="000000"/>
          <w:sz w:val="32"/>
          <w:szCs w:val="32"/>
        </w:rPr>
        <w:t>235号）</w:t>
      </w:r>
      <w:r>
        <w:rPr>
          <w:rFonts w:ascii="Times New Roman" w:hAnsi="Times New Roman" w:eastAsia="方正仿宋_GBK" w:cs="Times New Roman"/>
          <w:color w:val="000000"/>
          <w:sz w:val="32"/>
          <w:szCs w:val="32"/>
        </w:rPr>
        <w:t>相关规定和要求，瑞丽市勐卯镇开展了规划评估工作，评估结果显示，瑞丽市勐卯镇的耕地保有量、基本农田保护面积大于上级下达指标且用地规模指标执行情况达到了85分以上，并且通过了州级评审，取得州级相关审查意见。因此可以开展瑞丽市勐卯镇土地利用总体规划（2015-2020年）第二次修改。</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通过规划修改，解决瑞丽市勐卯镇近期经济社会发展的用地需求与瑞丽市勐卯镇土地利用总体规划（2015-2020年）中安排的用地指标不相符的问题，为瑞丽市勐卯镇各类建设项目和实施可持续发展战略提供必要的用地保障，保障各类用地的合法、合规、合理利用，使静态的土地规划与动态管理相结合，有利于进一步发挥土地利用总体规划的统筹管控作用，促进瑞丽市经济社会快速、平稳发展。</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一、拟建项目及指标需求情况</w:t>
      </w:r>
    </w:p>
    <w:p>
      <w:pPr>
        <w:spacing w:line="560" w:lineRule="exact"/>
        <w:ind w:firstLine="723"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勐卯镇：</w:t>
      </w:r>
      <w:r>
        <w:rPr>
          <w:rFonts w:ascii="Times New Roman" w:hAnsi="Times New Roman" w:eastAsia="方正仿宋_GBK" w:cs="Times New Roman"/>
          <w:color w:val="000000"/>
          <w:sz w:val="32"/>
          <w:szCs w:val="32"/>
        </w:rPr>
        <w:t>（1）拟建项目共计</w:t>
      </w:r>
      <w:r>
        <w:rPr>
          <w:rFonts w:hint="eastAsia" w:ascii="Times New Roman" w:hAnsi="Times New Roman" w:eastAsia="方正仿宋_GBK" w:cs="Times New Roman"/>
          <w:color w:val="000000"/>
          <w:sz w:val="32"/>
          <w:szCs w:val="32"/>
        </w:rPr>
        <w:t>10</w:t>
      </w:r>
      <w:r>
        <w:rPr>
          <w:rFonts w:ascii="Times New Roman" w:hAnsi="Times New Roman" w:eastAsia="方正仿宋_GBK" w:cs="Times New Roman"/>
          <w:color w:val="000000"/>
          <w:sz w:val="32"/>
          <w:szCs w:val="32"/>
        </w:rPr>
        <w:t>个，总面积55.89公顷。（2）调入指标：调入新增建设用地指标55.82公顷（</w:t>
      </w:r>
      <w:r>
        <w:rPr>
          <w:rFonts w:hint="eastAsia" w:ascii="Times New Roman" w:hAnsi="Times New Roman" w:eastAsia="方正仿宋_GBK" w:cs="Times New Roman"/>
          <w:color w:val="000000"/>
          <w:sz w:val="32"/>
          <w:szCs w:val="32"/>
        </w:rPr>
        <w:t>其中</w:t>
      </w:r>
      <w:r>
        <w:rPr>
          <w:rFonts w:ascii="Times New Roman" w:hAnsi="Times New Roman" w:eastAsia="方正仿宋_GBK" w:cs="Times New Roman"/>
          <w:color w:val="000000"/>
          <w:sz w:val="32"/>
          <w:szCs w:val="32"/>
        </w:rPr>
        <w:t>新增城乡建设用地指标13.34公顷</w:t>
      </w:r>
      <w:r>
        <w:rPr>
          <w:rFonts w:hint="eastAsia" w:ascii="Times New Roman" w:hAnsi="Times New Roman" w:eastAsia="方正仿宋_GBK" w:cs="Times New Roman"/>
          <w:color w:val="000000"/>
          <w:sz w:val="32"/>
          <w:szCs w:val="32"/>
        </w:rPr>
        <w:t>，新增交通水利用地</w:t>
      </w:r>
      <w:r>
        <w:rPr>
          <w:rFonts w:ascii="Times New Roman" w:hAnsi="Times New Roman" w:eastAsia="方正仿宋_GBK" w:cs="Times New Roman"/>
          <w:color w:val="000000"/>
          <w:sz w:val="32"/>
          <w:szCs w:val="32"/>
        </w:rPr>
        <w:t>6.73</w:t>
      </w:r>
      <w:r>
        <w:rPr>
          <w:rFonts w:hint="eastAsia" w:ascii="Times New Roman" w:hAnsi="Times New Roman" w:eastAsia="方正仿宋_GBK" w:cs="Times New Roman"/>
          <w:color w:val="000000"/>
          <w:sz w:val="32"/>
          <w:szCs w:val="32"/>
        </w:rPr>
        <w:t>公顷，新增其他建设用地</w:t>
      </w:r>
      <w:r>
        <w:rPr>
          <w:rFonts w:ascii="Times New Roman" w:hAnsi="Times New Roman" w:eastAsia="方正仿宋_GBK" w:cs="Times New Roman"/>
          <w:color w:val="000000"/>
          <w:sz w:val="32"/>
          <w:szCs w:val="32"/>
        </w:rPr>
        <w:t>35.75</w:t>
      </w:r>
      <w:r>
        <w:rPr>
          <w:rFonts w:hint="eastAsia" w:ascii="Times New Roman" w:hAnsi="Times New Roman" w:eastAsia="方正仿宋_GBK" w:cs="Times New Roman"/>
          <w:color w:val="000000"/>
          <w:sz w:val="32"/>
          <w:szCs w:val="32"/>
        </w:rPr>
        <w:t>公顷</w:t>
      </w:r>
      <w:r>
        <w:rPr>
          <w:rFonts w:ascii="Times New Roman" w:hAnsi="Times New Roman" w:eastAsia="方正仿宋_GBK" w:cs="Times New Roman"/>
          <w:color w:val="000000"/>
          <w:sz w:val="32"/>
          <w:szCs w:val="32"/>
        </w:rPr>
        <w:t>），新增建设占用耕地46.47公顷。（3）调出指标：调出新增建设用地指标55.89公顷（</w:t>
      </w:r>
      <w:r>
        <w:rPr>
          <w:rFonts w:hint="eastAsia" w:ascii="Times New Roman" w:hAnsi="Times New Roman" w:eastAsia="方正仿宋_GBK" w:cs="Times New Roman"/>
          <w:color w:val="000000"/>
          <w:sz w:val="32"/>
          <w:szCs w:val="32"/>
        </w:rPr>
        <w:t>其中</w:t>
      </w:r>
      <w:r>
        <w:rPr>
          <w:rFonts w:ascii="Times New Roman" w:hAnsi="Times New Roman" w:eastAsia="方正仿宋_GBK" w:cs="Times New Roman"/>
          <w:color w:val="000000"/>
          <w:sz w:val="32"/>
          <w:szCs w:val="32"/>
        </w:rPr>
        <w:t>新增城乡建设用地指标13.41公顷</w:t>
      </w:r>
      <w:r>
        <w:rPr>
          <w:rFonts w:hint="eastAsia" w:ascii="Times New Roman" w:hAnsi="Times New Roman" w:eastAsia="方正仿宋_GBK" w:cs="Times New Roman"/>
          <w:color w:val="000000"/>
          <w:sz w:val="32"/>
          <w:szCs w:val="32"/>
        </w:rPr>
        <w:t>，新增其他建设用地</w:t>
      </w:r>
      <w:r>
        <w:rPr>
          <w:rFonts w:ascii="Times New Roman" w:hAnsi="Times New Roman" w:eastAsia="方正仿宋_GBK" w:cs="Times New Roman"/>
          <w:color w:val="000000"/>
          <w:sz w:val="32"/>
          <w:szCs w:val="32"/>
        </w:rPr>
        <w:t>42.48</w:t>
      </w:r>
      <w:r>
        <w:rPr>
          <w:rFonts w:hint="eastAsia" w:ascii="Times New Roman" w:hAnsi="Times New Roman" w:eastAsia="方正仿宋_GBK" w:cs="Times New Roman"/>
          <w:color w:val="000000"/>
          <w:sz w:val="32"/>
          <w:szCs w:val="32"/>
        </w:rPr>
        <w:t>公顷</w:t>
      </w:r>
      <w:r>
        <w:rPr>
          <w:rFonts w:ascii="Times New Roman" w:hAnsi="Times New Roman" w:eastAsia="方正仿宋_GBK" w:cs="Times New Roman"/>
          <w:color w:val="000000"/>
          <w:sz w:val="32"/>
          <w:szCs w:val="32"/>
        </w:rPr>
        <w:t>），新增建设占用耕地36.26公顷。</w:t>
      </w:r>
      <w:r>
        <w:rPr>
          <w:rFonts w:ascii="Times New Roman" w:hAnsi="Times New Roman" w:eastAsia="方正仿宋_GBK" w:cs="Times New Roman"/>
          <w:sz w:val="32"/>
          <w:szCs w:val="32"/>
        </w:rPr>
        <w:t>（4）建设用地性质调整：本次规划修改，</w:t>
      </w:r>
      <w:r>
        <w:rPr>
          <w:rFonts w:hint="eastAsia" w:ascii="Times New Roman" w:hAnsi="Times New Roman" w:eastAsia="方正仿宋_GBK" w:cs="Times New Roman"/>
          <w:color w:val="000000"/>
          <w:sz w:val="32"/>
          <w:szCs w:val="32"/>
        </w:rPr>
        <w:t>荣丰民族文化传承基地</w:t>
      </w:r>
      <w:r>
        <w:rPr>
          <w:rFonts w:ascii="Times New Roman" w:hAnsi="Times New Roman" w:eastAsia="方正仿宋_GBK" w:cs="Times New Roman"/>
          <w:sz w:val="32"/>
          <w:szCs w:val="32"/>
        </w:rPr>
        <w:t>部分区域建设用地性质不符合土地利用总体规划，因此需要进行建设用地性质调整，勐卯镇性质调整地块总面积为0.07公顷，调整前类型为规划</w:t>
      </w:r>
      <w:r>
        <w:rPr>
          <w:rFonts w:hint="eastAsia" w:ascii="Times New Roman" w:hAnsi="Times New Roman" w:eastAsia="方正仿宋_GBK" w:cs="Times New Roman"/>
          <w:sz w:val="32"/>
          <w:szCs w:val="32"/>
        </w:rPr>
        <w:t>其他</w:t>
      </w:r>
      <w:r>
        <w:rPr>
          <w:rFonts w:ascii="Times New Roman" w:hAnsi="Times New Roman" w:eastAsia="方正仿宋_GBK" w:cs="Times New Roman"/>
          <w:sz w:val="32"/>
          <w:szCs w:val="32"/>
        </w:rPr>
        <w:t>建设用地0.07公顷；调整后规划类型为规划</w:t>
      </w:r>
      <w:r>
        <w:rPr>
          <w:rFonts w:hint="eastAsia" w:ascii="Times New Roman" w:hAnsi="Times New Roman" w:eastAsia="方正仿宋_GBK" w:cs="Times New Roman"/>
          <w:sz w:val="32"/>
          <w:szCs w:val="32"/>
        </w:rPr>
        <w:t>城乡</w:t>
      </w:r>
      <w:r>
        <w:rPr>
          <w:rFonts w:ascii="Times New Roman" w:hAnsi="Times New Roman" w:eastAsia="方正仿宋_GBK" w:cs="Times New Roman"/>
          <w:sz w:val="32"/>
          <w:szCs w:val="32"/>
        </w:rPr>
        <w:t>建设用地0.07公顷。</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二、指标来源情况</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本次规划修改，勐卯镇拟建项目的用地指标需求在本乡镇内部得到平衡，其中：新增建设用地指标存在</w:t>
      </w:r>
      <w:r>
        <w:rPr>
          <w:rFonts w:hint="eastAsia" w:ascii="Times New Roman" w:hAnsi="Times New Roman" w:eastAsia="方正仿宋_GBK" w:cs="Times New Roman"/>
          <w:color w:val="000000"/>
          <w:sz w:val="32"/>
          <w:szCs w:val="32"/>
        </w:rPr>
        <w:t>55.89</w:t>
      </w:r>
      <w:r>
        <w:rPr>
          <w:rFonts w:ascii="Times New Roman" w:hAnsi="Times New Roman" w:eastAsia="方正仿宋_GBK" w:cs="Times New Roman"/>
          <w:color w:val="000000"/>
          <w:sz w:val="32"/>
          <w:szCs w:val="32"/>
        </w:rPr>
        <w:t>公顷缺口，</w:t>
      </w:r>
      <w:r>
        <w:rPr>
          <w:rFonts w:hint="eastAsia" w:ascii="Times New Roman" w:hAnsi="Times New Roman" w:eastAsia="方正仿宋_GBK" w:cs="Times New Roman"/>
          <w:color w:val="000000"/>
          <w:sz w:val="32"/>
          <w:szCs w:val="32"/>
        </w:rPr>
        <w:t>其中</w:t>
      </w:r>
      <w:r>
        <w:rPr>
          <w:rFonts w:ascii="Times New Roman" w:hAnsi="Times New Roman" w:eastAsia="方正仿宋_GBK" w:cs="Times New Roman"/>
          <w:color w:val="000000"/>
          <w:sz w:val="32"/>
          <w:szCs w:val="32"/>
        </w:rPr>
        <w:t>新增城乡建设用地指标13.41</w:t>
      </w:r>
      <w:r>
        <w:rPr>
          <w:rFonts w:hint="eastAsia" w:ascii="Times New Roman" w:hAnsi="Times New Roman" w:eastAsia="方正仿宋_GBK" w:cs="Times New Roman"/>
          <w:color w:val="000000"/>
          <w:sz w:val="32"/>
          <w:szCs w:val="32"/>
        </w:rPr>
        <w:t>公顷</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新增交通水利用地指标</w:t>
      </w:r>
      <w:r>
        <w:rPr>
          <w:rFonts w:ascii="Times New Roman" w:hAnsi="Times New Roman" w:eastAsia="方正仿宋_GBK" w:cs="Times New Roman"/>
          <w:color w:val="000000"/>
          <w:sz w:val="32"/>
          <w:szCs w:val="32"/>
        </w:rPr>
        <w:t>6.73</w:t>
      </w:r>
      <w:r>
        <w:rPr>
          <w:rFonts w:hint="eastAsia" w:ascii="Times New Roman" w:hAnsi="Times New Roman" w:eastAsia="方正仿宋_GBK" w:cs="Times New Roman"/>
          <w:color w:val="000000"/>
          <w:sz w:val="32"/>
          <w:szCs w:val="32"/>
        </w:rPr>
        <w:t>公顷，其他建设用地指标</w:t>
      </w:r>
      <w:r>
        <w:rPr>
          <w:rFonts w:ascii="Times New Roman" w:hAnsi="Times New Roman" w:eastAsia="方正仿宋_GBK" w:cs="Times New Roman"/>
          <w:color w:val="000000"/>
          <w:sz w:val="32"/>
          <w:szCs w:val="32"/>
        </w:rPr>
        <w:t>35.75</w:t>
      </w:r>
      <w:r>
        <w:rPr>
          <w:rFonts w:hint="eastAsia" w:ascii="Times New Roman" w:hAnsi="Times New Roman" w:eastAsia="方正仿宋_GBK" w:cs="Times New Roman"/>
          <w:color w:val="000000"/>
          <w:sz w:val="32"/>
          <w:szCs w:val="32"/>
        </w:rPr>
        <w:t>公顷，</w:t>
      </w:r>
      <w:r>
        <w:rPr>
          <w:rFonts w:ascii="Times New Roman" w:hAnsi="Times New Roman" w:eastAsia="方正仿宋_GBK" w:cs="Times New Roman"/>
          <w:color w:val="000000"/>
          <w:sz w:val="32"/>
          <w:szCs w:val="32"/>
        </w:rPr>
        <w:t>新增建设占用耕地指标存在46.47公顷缺口。</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经统计，勐卯镇调出新增建设用地指标55.89公顷，</w:t>
      </w:r>
      <w:r>
        <w:rPr>
          <w:rFonts w:hint="eastAsia" w:ascii="Times New Roman" w:hAnsi="Times New Roman" w:eastAsia="方正仿宋_GBK" w:cs="Times New Roman"/>
          <w:color w:val="000000"/>
          <w:sz w:val="32"/>
          <w:szCs w:val="32"/>
        </w:rPr>
        <w:t>其中新增城乡建设用地指标</w:t>
      </w:r>
      <w:r>
        <w:rPr>
          <w:rFonts w:ascii="Times New Roman" w:hAnsi="Times New Roman" w:eastAsia="方正仿宋_GBK" w:cs="Times New Roman"/>
          <w:color w:val="000000"/>
          <w:sz w:val="32"/>
          <w:szCs w:val="32"/>
        </w:rPr>
        <w:t>13.41</w:t>
      </w:r>
      <w:r>
        <w:rPr>
          <w:rFonts w:hint="eastAsia" w:ascii="Times New Roman" w:hAnsi="Times New Roman" w:eastAsia="方正仿宋_GBK" w:cs="Times New Roman"/>
          <w:color w:val="000000"/>
          <w:sz w:val="32"/>
          <w:szCs w:val="32"/>
        </w:rPr>
        <w:t>公顷，新增交通水利用地指标0公顷，其他建设用地指标</w:t>
      </w:r>
      <w:r>
        <w:rPr>
          <w:rFonts w:ascii="Times New Roman" w:hAnsi="Times New Roman" w:eastAsia="方正仿宋_GBK" w:cs="Times New Roman"/>
          <w:color w:val="000000"/>
          <w:sz w:val="32"/>
          <w:szCs w:val="32"/>
        </w:rPr>
        <w:t>42.48</w:t>
      </w:r>
      <w:r>
        <w:rPr>
          <w:rFonts w:hint="eastAsia" w:ascii="Times New Roman" w:hAnsi="Times New Roman" w:eastAsia="方正仿宋_GBK" w:cs="Times New Roman"/>
          <w:color w:val="000000"/>
          <w:sz w:val="32"/>
          <w:szCs w:val="32"/>
        </w:rPr>
        <w:t>公顷，新增建设占用耕地指标存在</w:t>
      </w:r>
      <w:r>
        <w:rPr>
          <w:rFonts w:ascii="Times New Roman" w:hAnsi="Times New Roman" w:eastAsia="方正仿宋_GBK" w:cs="Times New Roman"/>
          <w:color w:val="000000"/>
          <w:sz w:val="32"/>
          <w:szCs w:val="32"/>
        </w:rPr>
        <w:t>36.26</w:t>
      </w:r>
      <w:r>
        <w:rPr>
          <w:rFonts w:hint="eastAsia" w:ascii="Times New Roman" w:hAnsi="Times New Roman" w:eastAsia="方正仿宋_GBK" w:cs="Times New Roman"/>
          <w:color w:val="000000"/>
          <w:sz w:val="32"/>
          <w:szCs w:val="32"/>
        </w:rPr>
        <w:t>公顷</w:t>
      </w:r>
      <w:r>
        <w:rPr>
          <w:rFonts w:ascii="Times New Roman" w:hAnsi="Times New Roman" w:eastAsia="方正仿宋_GBK" w:cs="Times New Roman"/>
          <w:color w:val="000000"/>
          <w:sz w:val="32"/>
          <w:szCs w:val="32"/>
        </w:rPr>
        <w:t>。</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通过对比分析，调出项目指标可满足勐卯镇的指标需求。</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三、结论</w:t>
      </w:r>
    </w:p>
    <w:p>
      <w:pPr>
        <w:spacing w:line="560" w:lineRule="exact"/>
        <w:ind w:firstLine="627" w:firstLineChars="196"/>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规划修改后，瑞丽市及勐卯镇的耕地保有量、基本农田保护面积、建设用地总规模、城乡建设用地规模、新增建设用地总规模以及新增建设用地占用耕地面积均未突破上级下达指标，各项指标均符合规划修改要求。因此，本规划修改方案具备可行性。</w:t>
      </w:r>
    </w:p>
    <w:p>
      <w:pPr>
        <w:spacing w:line="560" w:lineRule="exact"/>
        <w:ind w:firstLine="640"/>
        <w:rPr>
          <w:rFonts w:ascii="Times New Roman" w:hAnsi="Times New Roman" w:eastAsia="方正仿宋_GBK" w:cs="Times New Roman"/>
          <w:color w:val="000000"/>
          <w:sz w:val="32"/>
          <w:szCs w:val="32"/>
        </w:rPr>
      </w:pP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w:t>
      </w: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表1      瑞丽市勐卯镇各类指标调入调出情况表</w:t>
      </w: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表2      瑞丽市勐卯镇建设项目修改情况表</w:t>
      </w:r>
    </w:p>
    <w:p>
      <w:pPr>
        <w:spacing w:line="560" w:lineRule="exact"/>
        <w:ind w:firstLine="560"/>
        <w:rPr>
          <w:rFonts w:ascii="Times New Roman" w:hAnsi="Times New Roman" w:eastAsia="方正仿宋_GBK" w:cs="Times New Roman"/>
          <w:color w:val="000000"/>
          <w:sz w:val="32"/>
          <w:szCs w:val="32"/>
        </w:rPr>
      </w:pPr>
    </w:p>
    <w:p>
      <w:pPr>
        <w:spacing w:line="560" w:lineRule="exact"/>
        <w:ind w:firstLine="560"/>
        <w:rPr>
          <w:rFonts w:ascii="Times New Roman" w:hAnsi="Times New Roman" w:eastAsia="方正仿宋_GBK" w:cs="Times New Roman"/>
          <w:color w:val="000000"/>
          <w:sz w:val="32"/>
          <w:szCs w:val="32"/>
        </w:rPr>
      </w:pPr>
    </w:p>
    <w:p>
      <w:pPr>
        <w:spacing w:line="560" w:lineRule="exact"/>
        <w:ind w:firstLine="560"/>
        <w:rPr>
          <w:rFonts w:ascii="Times New Roman" w:hAnsi="Times New Roman" w:eastAsia="方正仿宋_GBK" w:cs="Times New Roman"/>
          <w:color w:val="000000"/>
          <w:sz w:val="32"/>
          <w:szCs w:val="32"/>
        </w:rPr>
      </w:pPr>
    </w:p>
    <w:p>
      <w:pPr>
        <w:spacing w:line="560" w:lineRule="exact"/>
        <w:ind w:firstLine="640"/>
        <w:rPr>
          <w:rFonts w:ascii="Times New Roman" w:hAnsi="Times New Roman" w:eastAsia="方正仿宋_GBK" w:cs="Times New Roman"/>
          <w:color w:val="000000"/>
          <w:sz w:val="32"/>
          <w:szCs w:val="32"/>
        </w:rPr>
        <w:sectPr>
          <w:footerReference r:id="rId3" w:type="default"/>
          <w:footerReference r:id="rId4" w:type="even"/>
          <w:pgSz w:w="12240" w:h="15840"/>
          <w:pgMar w:top="1440" w:right="1531" w:bottom="1440" w:left="1531" w:header="720" w:footer="720" w:gutter="0"/>
          <w:cols w:space="720" w:num="1"/>
        </w:sectPr>
      </w:pPr>
      <w:r>
        <w:rPr>
          <w:rFonts w:ascii="Times New Roman" w:hAnsi="Times New Roman" w:eastAsia="方正仿宋_GBK" w:cs="Times New Roman"/>
          <w:color w:val="000000"/>
          <w:sz w:val="32"/>
          <w:szCs w:val="32"/>
        </w:rPr>
        <w:t xml:space="preserve">           </w:t>
      </w:r>
    </w:p>
    <w:p>
      <w:pPr>
        <w:spacing w:line="560" w:lineRule="exact"/>
        <w:jc w:val="center"/>
        <w:rPr>
          <w:rFonts w:ascii="Times New Roman" w:hAnsi="Times New Roman" w:eastAsia="仿宋_GB2312" w:cs="Times New Roman"/>
          <w:color w:val="000000"/>
          <w:sz w:val="28"/>
          <w:szCs w:val="28"/>
        </w:rPr>
      </w:pPr>
      <w:bookmarkStart w:id="0" w:name="_GoBack"/>
      <w:bookmarkEnd w:id="0"/>
      <w:r>
        <w:rPr>
          <w:rFonts w:ascii="Times New Roman" w:hAnsi="Times New Roman" w:eastAsia="仿宋_GB2312" w:cs="Times New Roman"/>
          <w:color w:val="000000"/>
          <w:sz w:val="28"/>
          <w:szCs w:val="28"/>
        </w:rPr>
        <w:t>附表1    瑞丽市勐卯镇各类指标调入调出情况表</w:t>
      </w:r>
    </w:p>
    <w:p>
      <w:pPr>
        <w:spacing w:line="560" w:lineRule="exact"/>
        <w:ind w:firstLine="640"/>
        <w:jc w:val="right"/>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单位：公顷</w:t>
      </w:r>
    </w:p>
    <w:tbl>
      <w:tblPr>
        <w:tblStyle w:val="2"/>
        <w:tblW w:w="9394" w:type="dxa"/>
        <w:tblInd w:w="0" w:type="dxa"/>
        <w:tblLayout w:type="fixed"/>
        <w:tblCellMar>
          <w:top w:w="0" w:type="dxa"/>
          <w:left w:w="108" w:type="dxa"/>
          <w:bottom w:w="0" w:type="dxa"/>
          <w:right w:w="108" w:type="dxa"/>
        </w:tblCellMar>
      </w:tblPr>
      <w:tblGrid>
        <w:gridCol w:w="1452"/>
        <w:gridCol w:w="2347"/>
        <w:gridCol w:w="1693"/>
        <w:gridCol w:w="1982"/>
        <w:gridCol w:w="1920"/>
      </w:tblGrid>
      <w:tr>
        <w:tblPrEx>
          <w:tblCellMar>
            <w:top w:w="0" w:type="dxa"/>
            <w:left w:w="108" w:type="dxa"/>
            <w:bottom w:w="0" w:type="dxa"/>
            <w:right w:w="108" w:type="dxa"/>
          </w:tblCellMar>
        </w:tblPrEx>
        <w:trPr>
          <w:trHeight w:val="283" w:hRule="atLeast"/>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调整乡镇</w:t>
            </w:r>
          </w:p>
        </w:tc>
        <w:tc>
          <w:tcPr>
            <w:tcW w:w="234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调整类型</w:t>
            </w:r>
          </w:p>
        </w:tc>
        <w:tc>
          <w:tcPr>
            <w:tcW w:w="1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调入面积</w:t>
            </w:r>
          </w:p>
        </w:tc>
        <w:tc>
          <w:tcPr>
            <w:tcW w:w="198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调出面积</w:t>
            </w:r>
          </w:p>
        </w:tc>
        <w:tc>
          <w:tcPr>
            <w:tcW w:w="19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变化量</w:t>
            </w:r>
          </w:p>
        </w:tc>
      </w:tr>
      <w:tr>
        <w:tblPrEx>
          <w:tblCellMar>
            <w:top w:w="0" w:type="dxa"/>
            <w:left w:w="108" w:type="dxa"/>
            <w:bottom w:w="0" w:type="dxa"/>
            <w:right w:w="108" w:type="dxa"/>
          </w:tblCellMar>
        </w:tblPrEx>
        <w:trPr>
          <w:trHeight w:val="283" w:hRule="atLeast"/>
        </w:trPr>
        <w:tc>
          <w:tcPr>
            <w:tcW w:w="145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勐卯镇</w:t>
            </w: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新增建设用地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55.82  </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55.89 </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-0.07</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城乡建设用地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13.34</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13.41</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-0.07</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交通水利及</w:t>
            </w:r>
            <w:r>
              <w:rPr>
                <w:rFonts w:ascii="Times New Roman" w:hAnsi="Times New Roman" w:eastAsia="仿宋_GB2312" w:cs="Times New Roman"/>
                <w:kern w:val="0"/>
                <w:szCs w:val="21"/>
              </w:rPr>
              <w:t>其他建设用地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42.48</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42.48</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新增建设占用耕地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46.47</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36.26</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10.21</w:t>
            </w:r>
          </w:p>
        </w:tc>
      </w:tr>
    </w:tbl>
    <w:p>
      <w:pPr>
        <w:spacing w:line="560" w:lineRule="exact"/>
        <w:ind w:firstLine="640"/>
        <w:rPr>
          <w:rFonts w:ascii="Times New Roman" w:hAnsi="Times New Roman" w:eastAsia="仿宋_GB2312" w:cs="Times New Roman"/>
          <w:color w:val="000000"/>
          <w:sz w:val="28"/>
          <w:szCs w:val="28"/>
        </w:rPr>
        <w:sectPr>
          <w:pgSz w:w="12240" w:h="15840"/>
          <w:pgMar w:top="1440" w:right="1531" w:bottom="1440" w:left="1531" w:header="720" w:footer="720" w:gutter="0"/>
          <w:cols w:space="720" w:num="1"/>
        </w:sectPr>
      </w:pPr>
    </w:p>
    <w:p>
      <w:pPr>
        <w:spacing w:line="560" w:lineRule="exact"/>
        <w:ind w:firstLine="640"/>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附表2      瑞丽市勐卯镇建设项目修改情况表</w:t>
      </w:r>
    </w:p>
    <w:p>
      <w:pPr>
        <w:spacing w:line="560" w:lineRule="exact"/>
        <w:ind w:firstLine="640"/>
        <w:jc w:val="right"/>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单位：公顷</w:t>
      </w:r>
    </w:p>
    <w:tbl>
      <w:tblPr>
        <w:tblStyle w:val="2"/>
        <w:tblW w:w="10915" w:type="dxa"/>
        <w:jc w:val="center"/>
        <w:tblLayout w:type="autofit"/>
        <w:tblCellMar>
          <w:top w:w="0" w:type="dxa"/>
          <w:left w:w="108" w:type="dxa"/>
          <w:bottom w:w="0" w:type="dxa"/>
          <w:right w:w="108" w:type="dxa"/>
        </w:tblCellMar>
      </w:tblPr>
      <w:tblGrid>
        <w:gridCol w:w="636"/>
        <w:gridCol w:w="2087"/>
        <w:gridCol w:w="810"/>
        <w:gridCol w:w="1145"/>
        <w:gridCol w:w="831"/>
        <w:gridCol w:w="1167"/>
        <w:gridCol w:w="894"/>
        <w:gridCol w:w="854"/>
        <w:gridCol w:w="1112"/>
        <w:gridCol w:w="1379"/>
      </w:tblGrid>
      <w:tr>
        <w:tblPrEx>
          <w:tblCellMar>
            <w:top w:w="0" w:type="dxa"/>
            <w:left w:w="108" w:type="dxa"/>
            <w:bottom w:w="0" w:type="dxa"/>
            <w:right w:w="108" w:type="dxa"/>
          </w:tblCellMar>
        </w:tblPrEx>
        <w:trPr>
          <w:trHeight w:val="799" w:hRule="atLeast"/>
          <w:tblHeader/>
          <w:jc w:val="center"/>
        </w:trPr>
        <w:tc>
          <w:tcPr>
            <w:tcW w:w="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项目类型</w:t>
            </w:r>
          </w:p>
        </w:tc>
        <w:tc>
          <w:tcPr>
            <w:tcW w:w="20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项目名称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建设性质</w:t>
            </w: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建设年限</w:t>
            </w:r>
          </w:p>
        </w:tc>
        <w:tc>
          <w:tcPr>
            <w:tcW w:w="289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规划期间实际执行</w:t>
            </w:r>
          </w:p>
        </w:tc>
        <w:tc>
          <w:tcPr>
            <w:tcW w:w="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涉及县乡</w:t>
            </w: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备注</w:t>
            </w:r>
          </w:p>
        </w:tc>
        <w:tc>
          <w:tcPr>
            <w:tcW w:w="13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指标来源及使用情况</w:t>
            </w:r>
          </w:p>
        </w:tc>
      </w:tr>
      <w:tr>
        <w:tblPrEx>
          <w:tblCellMar>
            <w:top w:w="0" w:type="dxa"/>
            <w:left w:w="108" w:type="dxa"/>
            <w:bottom w:w="0" w:type="dxa"/>
            <w:right w:w="108" w:type="dxa"/>
          </w:tblCellMar>
        </w:tblPrEx>
        <w:trPr>
          <w:trHeight w:val="799" w:hRule="atLeast"/>
          <w:tblHeader/>
          <w:jc w:val="center"/>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0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8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总规模</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其中新增建设用地</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其中占用耕地</w:t>
            </w: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37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799" w:hRule="atLeast"/>
          <w:jc w:val="center"/>
        </w:trPr>
        <w:tc>
          <w:tcPr>
            <w:tcW w:w="636" w:type="dxa"/>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1、其他</w:t>
            </w:r>
          </w:p>
        </w:tc>
        <w:tc>
          <w:tcPr>
            <w:tcW w:w="2087"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部队置换</w:t>
            </w:r>
          </w:p>
        </w:tc>
        <w:tc>
          <w:tcPr>
            <w:tcW w:w="810"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145"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831"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11.46</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11.46</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8.04</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瑞丽市勐卯镇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增加其他建设用地</w:t>
            </w:r>
          </w:p>
        </w:tc>
        <w:tc>
          <w:tcPr>
            <w:tcW w:w="13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799" w:hRule="atLeast"/>
          <w:jc w:val="center"/>
        </w:trPr>
        <w:tc>
          <w:tcPr>
            <w:tcW w:w="63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2、其他</w:t>
            </w:r>
          </w:p>
        </w:tc>
        <w:tc>
          <w:tcPr>
            <w:tcW w:w="20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瑞丽市建筑垃圾资源化利用项目</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14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8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2.45</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2.45</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1.27</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瑞丽市勐卯镇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3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799" w:hRule="atLeast"/>
          <w:jc w:val="center"/>
        </w:trPr>
        <w:tc>
          <w:tcPr>
            <w:tcW w:w="63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3、其他</w:t>
            </w:r>
          </w:p>
        </w:tc>
        <w:tc>
          <w:tcPr>
            <w:tcW w:w="20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城镇发展用地（弄莫湖旁）</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14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8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0.21</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0.21</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0.20</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瑞丽市勐卯镇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3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799" w:hRule="atLeast"/>
          <w:jc w:val="center"/>
        </w:trPr>
        <w:tc>
          <w:tcPr>
            <w:tcW w:w="63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4、其他</w:t>
            </w:r>
          </w:p>
        </w:tc>
        <w:tc>
          <w:tcPr>
            <w:tcW w:w="20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瑞丽市资源循环利用基地（静脉产业园）项目</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14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8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0.43</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0.43</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0.22</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瑞丽市勐卯镇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3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799" w:hRule="atLeast"/>
          <w:jc w:val="center"/>
        </w:trPr>
        <w:tc>
          <w:tcPr>
            <w:tcW w:w="63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5、其他</w:t>
            </w:r>
          </w:p>
        </w:tc>
        <w:tc>
          <w:tcPr>
            <w:tcW w:w="20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红光凤凰谷乡村旅游配套</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14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8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1.33</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1.33</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瑞丽市勐卯镇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3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799" w:hRule="atLeast"/>
          <w:jc w:val="center"/>
        </w:trPr>
        <w:tc>
          <w:tcPr>
            <w:tcW w:w="63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6、其他</w:t>
            </w:r>
          </w:p>
        </w:tc>
        <w:tc>
          <w:tcPr>
            <w:tcW w:w="20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城镇发展用地（启升电子旁）</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14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8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3.61</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3.61</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3.54</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瑞丽市勐卯镇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增加交通水利用地</w:t>
            </w:r>
          </w:p>
        </w:tc>
        <w:tc>
          <w:tcPr>
            <w:tcW w:w="13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799" w:hRule="atLeast"/>
          <w:jc w:val="center"/>
        </w:trPr>
        <w:tc>
          <w:tcPr>
            <w:tcW w:w="63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7、其他</w:t>
            </w:r>
          </w:p>
        </w:tc>
        <w:tc>
          <w:tcPr>
            <w:tcW w:w="20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城镇发展用地</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14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8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1.76</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1.76</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瑞丽市勐卯镇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增加交通水利用地</w:t>
            </w:r>
          </w:p>
        </w:tc>
        <w:tc>
          <w:tcPr>
            <w:tcW w:w="13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799" w:hRule="atLeast"/>
          <w:jc w:val="center"/>
        </w:trPr>
        <w:tc>
          <w:tcPr>
            <w:tcW w:w="63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8、其他</w:t>
            </w:r>
          </w:p>
        </w:tc>
        <w:tc>
          <w:tcPr>
            <w:tcW w:w="2087" w:type="dxa"/>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荣丰民族文化传承基地</w:t>
            </w:r>
          </w:p>
        </w:tc>
        <w:tc>
          <w:tcPr>
            <w:tcW w:w="810"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14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83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3.62</w:t>
            </w:r>
          </w:p>
        </w:tc>
        <w:tc>
          <w:tcPr>
            <w:tcW w:w="11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3.62</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3.46</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瑞丽市勐卯镇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3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799" w:hRule="atLeast"/>
          <w:jc w:val="center"/>
        </w:trPr>
        <w:tc>
          <w:tcPr>
            <w:tcW w:w="636"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08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荣丰民族文化传承基地(性质调整)</w:t>
            </w:r>
          </w:p>
        </w:tc>
        <w:tc>
          <w:tcPr>
            <w:tcW w:w="810"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145"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831"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1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8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瑞丽市勐卯镇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3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799" w:hRule="atLeast"/>
          <w:jc w:val="center"/>
        </w:trPr>
        <w:tc>
          <w:tcPr>
            <w:tcW w:w="63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9、其他</w:t>
            </w:r>
          </w:p>
        </w:tc>
        <w:tc>
          <w:tcPr>
            <w:tcW w:w="20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芒令美丽乡村</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1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2015-2020</w:t>
            </w:r>
          </w:p>
        </w:tc>
        <w:tc>
          <w:tcPr>
            <w:tcW w:w="8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24.29</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24.29</w:t>
            </w: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23.24</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瑞丽市勐卯镇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增加其他建设用地</w:t>
            </w:r>
          </w:p>
        </w:tc>
        <w:tc>
          <w:tcPr>
            <w:tcW w:w="13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799" w:hRule="atLeast"/>
          <w:jc w:val="center"/>
        </w:trPr>
        <w:tc>
          <w:tcPr>
            <w:tcW w:w="63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10、其他</w:t>
            </w:r>
          </w:p>
        </w:tc>
        <w:tc>
          <w:tcPr>
            <w:tcW w:w="20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畹瑞大道</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2015-2020</w:t>
            </w:r>
          </w:p>
        </w:tc>
        <w:tc>
          <w:tcPr>
            <w:tcW w:w="8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6.73</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6.73</w:t>
            </w:r>
          </w:p>
        </w:tc>
        <w:tc>
          <w:tcPr>
            <w:tcW w:w="8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6.50</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瑞丽市勐卯镇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增加其他建设用地</w:t>
            </w:r>
          </w:p>
        </w:tc>
        <w:tc>
          <w:tcPr>
            <w:tcW w:w="137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799" w:hRule="atLeast"/>
          <w:jc w:val="center"/>
        </w:trPr>
        <w:tc>
          <w:tcPr>
            <w:tcW w:w="2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8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55.89</w:t>
            </w:r>
            <w:r>
              <w:rPr>
                <w:rFonts w:hint="eastAsia" w:ascii="Times New Roman" w:hAnsi="Times New Roman" w:eastAsia="仿宋_GB2312" w:cs="Times New Roman"/>
                <w:kern w:val="0"/>
                <w:szCs w:val="21"/>
              </w:rPr>
              <w:t xml:space="preserve"> </w:t>
            </w:r>
          </w:p>
        </w:tc>
        <w:tc>
          <w:tcPr>
            <w:tcW w:w="11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55.89</w:t>
            </w:r>
            <w:r>
              <w:rPr>
                <w:rFonts w:hint="eastAsia" w:ascii="Times New Roman" w:hAnsi="Times New Roman" w:eastAsia="仿宋_GB2312" w:cs="Times New Roman"/>
                <w:kern w:val="0"/>
                <w:szCs w:val="21"/>
              </w:rPr>
              <w:t xml:space="preserve"> </w:t>
            </w: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46.47</w:t>
            </w:r>
          </w:p>
        </w:tc>
        <w:tc>
          <w:tcPr>
            <w:tcW w:w="85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13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r>
    </w:tbl>
    <w:p>
      <w:pPr>
        <w:spacing w:line="560" w:lineRule="exact"/>
        <w:ind w:firstLine="640"/>
        <w:jc w:val="left"/>
        <w:rPr>
          <w:rFonts w:ascii="Times New Roman" w:hAnsi="Times New Roman" w:eastAsia="仿宋_GB2312" w:cs="Times New Roman"/>
          <w:color w:val="00000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4"/>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Style w:val="4"/>
        <w:rFonts w:ascii="Times New Roman" w:hAnsi="Times New Roman" w:eastAsia="宋体" w:cs="Times New Roman"/>
        <w:sz w:val="18"/>
        <w:szCs w:val="18"/>
      </w:rPr>
      <w:instrText xml:space="preserve">PAGE  </w:instrText>
    </w:r>
    <w:r>
      <w:rPr>
        <w:rFonts w:ascii="Times New Roman" w:hAnsi="Times New Roman" w:eastAsia="宋体" w:cs="Times New Roman"/>
        <w:sz w:val="18"/>
        <w:szCs w:val="18"/>
      </w:rPr>
      <w:fldChar w:fldCharType="separate"/>
    </w:r>
    <w:r>
      <w:rPr>
        <w:rStyle w:val="4"/>
        <w:rFonts w:ascii="Times New Roman" w:hAnsi="Times New Roman" w:eastAsia="宋体" w:cs="Times New Roman"/>
        <w:sz w:val="18"/>
        <w:szCs w:val="18"/>
      </w:rPr>
      <w:t>5</w:t>
    </w:r>
    <w:r>
      <w:rPr>
        <w:rFonts w:ascii="Times New Roman" w:hAnsi="Times New Roman" w:eastAsia="宋体" w:cs="Times New Roman"/>
        <w:sz w:val="18"/>
        <w:szCs w:val="18"/>
      </w:rPr>
      <w:fldChar w:fldCharType="end"/>
    </w:r>
  </w:p>
  <w:p>
    <w:pPr>
      <w:snapToGrid w:val="0"/>
      <w:ind w:right="360" w:firstLine="36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4"/>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Style w:val="4"/>
        <w:rFonts w:ascii="Times New Roman" w:hAnsi="Times New Roman" w:eastAsia="宋体" w:cs="Times New Roman"/>
        <w:sz w:val="18"/>
        <w:szCs w:val="18"/>
      </w:rPr>
      <w:instrText xml:space="preserve">PAGE  </w:instrText>
    </w:r>
    <w:r>
      <w:rPr>
        <w:rFonts w:ascii="Times New Roman" w:hAnsi="Times New Roman" w:eastAsia="宋体" w:cs="Times New Roman"/>
        <w:sz w:val="18"/>
        <w:szCs w:val="18"/>
      </w:rPr>
      <w:fldChar w:fldCharType="end"/>
    </w:r>
  </w:p>
  <w:p>
    <w:pPr>
      <w:snapToGrid w:val="0"/>
      <w:ind w:right="360" w:firstLine="360"/>
      <w:jc w:val="left"/>
      <w:rPr>
        <w:rFonts w:ascii="Times New Roman" w:hAnsi="Times New Roman" w:eastAsia="宋体"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C71CE"/>
    <w:rsid w:val="16DC71CE"/>
    <w:rsid w:val="213B142F"/>
    <w:rsid w:val="65DD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2020-06-01T07:03:00Z</dcterms:created>
  <dc:creator>刘晓晓</dc:creator>
  <cp:lastModifiedBy>Administrator</cp:lastModifiedBy>
  <dcterms:modified xsi:type="dcterms:W3CDTF">2020-06-01T07:40:12Z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