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rPr>
      </w:pPr>
      <w:bookmarkStart w:id="0" w:name="_GoBack"/>
      <w:bookmarkEnd w:id="0"/>
      <w:r>
        <w:rPr>
          <w:rFonts w:hint="default" w:ascii="Times New Roman" w:hAnsi="Times New Roman" w:eastAsia="黑体" w:cs="Times New Roman"/>
          <w:color w:val="auto"/>
          <w:sz w:val="32"/>
          <w:szCs w:val="32"/>
        </w:rPr>
        <w:t>附件1</w:t>
      </w:r>
    </w:p>
    <w:p>
      <w:pPr>
        <w:spacing w:line="560" w:lineRule="exact"/>
        <w:jc w:val="center"/>
        <w:rPr>
          <w:rFonts w:hint="default" w:ascii="Times New Roman" w:hAnsi="Times New Roman" w:eastAsia="方正小标宋简体" w:cs="Times New Roman"/>
          <w:color w:val="auto"/>
          <w:sz w:val="36"/>
          <w:szCs w:val="36"/>
          <w:highlight w:val="none"/>
        </w:rPr>
      </w:pPr>
      <w:r>
        <w:rPr>
          <w:rFonts w:hint="default" w:ascii="Times New Roman" w:hAnsi="Times New Roman" w:eastAsia="方正小标宋简体" w:cs="Times New Roman"/>
          <w:color w:val="auto"/>
          <w:sz w:val="36"/>
          <w:szCs w:val="36"/>
          <w:highlight w:val="none"/>
        </w:rPr>
        <w:t>瑞丽市创建省级慢性病综合防控示范区</w:t>
      </w:r>
    </w:p>
    <w:p>
      <w:pPr>
        <w:spacing w:line="560" w:lineRule="exact"/>
        <w:jc w:val="center"/>
        <w:rPr>
          <w:rFonts w:hint="default" w:ascii="Times New Roman" w:hAnsi="Times New Roman" w:eastAsia="方正小标宋简体" w:cs="Times New Roman"/>
          <w:color w:val="auto"/>
          <w:sz w:val="36"/>
          <w:szCs w:val="36"/>
          <w:highlight w:val="none"/>
        </w:rPr>
      </w:pPr>
      <w:r>
        <w:rPr>
          <w:rFonts w:hint="default" w:ascii="Times New Roman" w:hAnsi="Times New Roman" w:eastAsia="方正小标宋简体" w:cs="Times New Roman"/>
          <w:color w:val="auto"/>
          <w:sz w:val="36"/>
          <w:szCs w:val="36"/>
          <w:highlight w:val="none"/>
        </w:rPr>
        <w:t>工作指标及责任分解表</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tbl>
      <w:tblPr>
        <w:tblStyle w:val="5"/>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
        <w:gridCol w:w="1050"/>
        <w:gridCol w:w="1663"/>
        <w:gridCol w:w="2700"/>
        <w:gridCol w:w="572"/>
        <w:gridCol w:w="1470"/>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Header/>
          <w:jc w:val="center"/>
        </w:trPr>
        <w:tc>
          <w:tcPr>
            <w:tcW w:w="840"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指标</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分类</w:t>
            </w:r>
          </w:p>
        </w:tc>
        <w:tc>
          <w:tcPr>
            <w:tcW w:w="1050"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指标内容</w:t>
            </w:r>
          </w:p>
        </w:tc>
        <w:tc>
          <w:tcPr>
            <w:tcW w:w="1663"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指标要求</w:t>
            </w:r>
          </w:p>
        </w:tc>
        <w:tc>
          <w:tcPr>
            <w:tcW w:w="2700"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评分标准</w:t>
            </w:r>
          </w:p>
        </w:tc>
        <w:tc>
          <w:tcPr>
            <w:tcW w:w="572"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权重分值</w:t>
            </w:r>
          </w:p>
        </w:tc>
        <w:tc>
          <w:tcPr>
            <w:tcW w:w="1470"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评价 办法</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牵头单位</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840"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一、</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政策</w:t>
            </w:r>
          </w:p>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发展</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w:t>
            </w:r>
            <w:r>
              <w:rPr>
                <w:rFonts w:hint="default" w:ascii="Times New Roman" w:hAnsi="Times New Roman" w:eastAsia="方正仿宋_GBK" w:cs="Times New Roman"/>
                <w:color w:val="auto"/>
                <w:sz w:val="18"/>
                <w:szCs w:val="18"/>
                <w:lang w:val="en-US" w:eastAsia="zh-CN"/>
              </w:rPr>
              <w:t>60</w:t>
            </w:r>
            <w:r>
              <w:rPr>
                <w:rFonts w:hint="default" w:ascii="Times New Roman" w:hAnsi="Times New Roman" w:eastAsia="方正仿宋_GBK" w:cs="Times New Roman"/>
                <w:color w:val="auto"/>
                <w:sz w:val="18"/>
                <w:szCs w:val="18"/>
              </w:rPr>
              <w:t>分）</w:t>
            </w: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（一）发挥政府主导作用，建立多部门协作联动机制。（</w:t>
            </w:r>
            <w:r>
              <w:rPr>
                <w:rFonts w:hint="default" w:ascii="Times New Roman" w:hAnsi="Times New Roman" w:eastAsia="方正仿宋_GBK" w:cs="Times New Roman"/>
                <w:color w:val="auto"/>
                <w:sz w:val="18"/>
                <w:szCs w:val="18"/>
                <w:lang w:val="en-US" w:eastAsia="zh-CN"/>
              </w:rPr>
              <w:t>18</w:t>
            </w:r>
            <w:r>
              <w:rPr>
                <w:rFonts w:hint="default" w:ascii="Times New Roman" w:hAnsi="Times New Roman" w:eastAsia="方正仿宋_GBK" w:cs="Times New Roman"/>
                <w:color w:val="auto"/>
                <w:sz w:val="18"/>
                <w:szCs w:val="18"/>
              </w:rPr>
              <w:t>分）</w:t>
            </w:r>
          </w:p>
        </w:tc>
        <w:tc>
          <w:tcPr>
            <w:tcW w:w="1663" w:type="dxa"/>
            <w:vMerge w:val="restart"/>
            <w:noWrap w:val="0"/>
            <w:tcMar>
              <w:top w:w="15" w:type="dxa"/>
              <w:left w:w="15" w:type="dxa"/>
              <w:bottom w:w="15" w:type="dxa"/>
              <w:right w:w="15" w:type="dxa"/>
            </w:tcMar>
            <w:vAlign w:val="center"/>
          </w:tcPr>
          <w:p>
            <w:pPr>
              <w:spacing w:line="3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1.辖区政府成立示范区建设领导小组，明确</w:t>
            </w:r>
            <w:r>
              <w:rPr>
                <w:rFonts w:hint="default" w:ascii="Times New Roman" w:hAnsi="Times New Roman" w:eastAsia="方正仿宋_GBK" w:cs="Times New Roman"/>
                <w:color w:val="auto"/>
                <w:sz w:val="18"/>
                <w:szCs w:val="18"/>
                <w:lang w:val="en-US" w:eastAsia="zh-CN"/>
              </w:rPr>
              <w:t>并落实</w:t>
            </w:r>
            <w:r>
              <w:rPr>
                <w:rFonts w:hint="default" w:ascii="Times New Roman" w:hAnsi="Times New Roman" w:eastAsia="方正仿宋_GBK" w:cs="Times New Roman"/>
                <w:color w:val="auto"/>
                <w:sz w:val="18"/>
                <w:szCs w:val="18"/>
              </w:rPr>
              <w:t>部门职责，建立完善的信息反馈沟通制度。</w:t>
            </w:r>
          </w:p>
        </w:tc>
        <w:tc>
          <w:tcPr>
            <w:tcW w:w="2700" w:type="dxa"/>
            <w:noWrap w:val="0"/>
            <w:tcMar>
              <w:top w:w="15" w:type="dxa"/>
              <w:left w:w="15" w:type="dxa"/>
              <w:bottom w:w="15" w:type="dxa"/>
              <w:right w:w="15" w:type="dxa"/>
            </w:tcMar>
            <w:vAlign w:val="center"/>
          </w:tcPr>
          <w:p>
            <w:pPr>
              <w:spacing w:line="3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（1）成立辖区示范区建设领导小组，政府主要领导任组长，明确各部门职责，</w:t>
            </w:r>
            <w:r>
              <w:rPr>
                <w:rFonts w:hint="default" w:ascii="Times New Roman" w:hAnsi="Times New Roman" w:eastAsia="方正仿宋_GBK" w:cs="Times New Roman"/>
                <w:color w:val="auto"/>
                <w:sz w:val="18"/>
                <w:szCs w:val="18"/>
                <w:lang w:val="en-US" w:eastAsia="zh-CN"/>
              </w:rPr>
              <w:t>2</w:t>
            </w:r>
            <w:r>
              <w:rPr>
                <w:rFonts w:hint="default" w:ascii="Times New Roman" w:hAnsi="Times New Roman" w:eastAsia="方正仿宋_GBK" w:cs="Times New Roman"/>
                <w:color w:val="auto"/>
                <w:sz w:val="18"/>
                <w:szCs w:val="18"/>
              </w:rPr>
              <w:t>分。</w:t>
            </w:r>
          </w:p>
        </w:tc>
        <w:tc>
          <w:tcPr>
            <w:tcW w:w="572" w:type="dxa"/>
            <w:vMerge w:val="restart"/>
            <w:noWrap w:val="0"/>
            <w:tcMar>
              <w:top w:w="15" w:type="dxa"/>
              <w:left w:w="15" w:type="dxa"/>
              <w:bottom w:w="15" w:type="dxa"/>
              <w:right w:w="15" w:type="dxa"/>
            </w:tcMar>
            <w:vAlign w:val="center"/>
          </w:tcPr>
          <w:p>
            <w:pPr>
              <w:spacing w:line="300" w:lineRule="exact"/>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5</w:t>
            </w:r>
          </w:p>
        </w:tc>
        <w:tc>
          <w:tcPr>
            <w:tcW w:w="1470" w:type="dxa"/>
            <w:vMerge w:val="restart"/>
            <w:noWrap w:val="0"/>
            <w:tcMar>
              <w:top w:w="15" w:type="dxa"/>
              <w:left w:w="15" w:type="dxa"/>
              <w:bottom w:w="15" w:type="dxa"/>
              <w:right w:w="15" w:type="dxa"/>
            </w:tcMar>
            <w:vAlign w:val="center"/>
          </w:tcPr>
          <w:p>
            <w:pPr>
              <w:spacing w:line="300" w:lineRule="exact"/>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查阅资料，会议纪要、现场询问。</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市政府办</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30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3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（2）设立示范区建设工作办公室，</w:t>
            </w:r>
            <w:r>
              <w:rPr>
                <w:rFonts w:hint="default"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rPr>
              <w:t>分。</w:t>
            </w:r>
          </w:p>
        </w:tc>
        <w:tc>
          <w:tcPr>
            <w:tcW w:w="572" w:type="dxa"/>
            <w:vMerge w:val="continue"/>
            <w:noWrap w:val="0"/>
            <w:vAlign w:val="center"/>
          </w:tcPr>
          <w:p>
            <w:pPr>
              <w:spacing w:line="300" w:lineRule="exact"/>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spacing w:line="300" w:lineRule="exact"/>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300" w:lineRule="exact"/>
              <w:rPr>
                <w:rFonts w:hint="default" w:ascii="Times New Roman" w:hAnsi="Times New Roman" w:eastAsia="方正仿宋_GBK" w:cs="Times New Roman"/>
                <w:color w:val="auto"/>
                <w:sz w:val="18"/>
                <w:szCs w:val="18"/>
              </w:rPr>
            </w:pPr>
          </w:p>
        </w:tc>
        <w:tc>
          <w:tcPr>
            <w:tcW w:w="2700" w:type="dxa"/>
            <w:noWrap w:val="0"/>
            <w:vAlign w:val="center"/>
          </w:tcPr>
          <w:p>
            <w:pPr>
              <w:spacing w:line="3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（3）每年召开1次及以上领导小组工作会议，</w:t>
            </w:r>
            <w:r>
              <w:rPr>
                <w:rFonts w:hint="default"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rPr>
              <w:t>分。</w:t>
            </w:r>
          </w:p>
        </w:tc>
        <w:tc>
          <w:tcPr>
            <w:tcW w:w="572" w:type="dxa"/>
            <w:vMerge w:val="continue"/>
            <w:noWrap w:val="0"/>
            <w:vAlign w:val="center"/>
          </w:tcPr>
          <w:p>
            <w:pPr>
              <w:spacing w:line="300" w:lineRule="exact"/>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spacing w:line="300" w:lineRule="exact"/>
              <w:jc w:val="left"/>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市创建办</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300" w:lineRule="exact"/>
              <w:rPr>
                <w:rFonts w:hint="default" w:ascii="Times New Roman" w:hAnsi="Times New Roman" w:eastAsia="方正仿宋_GBK" w:cs="Times New Roman"/>
                <w:color w:val="auto"/>
                <w:sz w:val="18"/>
                <w:szCs w:val="18"/>
              </w:rPr>
            </w:pPr>
          </w:p>
        </w:tc>
        <w:tc>
          <w:tcPr>
            <w:tcW w:w="2700" w:type="dxa"/>
            <w:noWrap w:val="0"/>
            <w:vAlign w:val="center"/>
          </w:tcPr>
          <w:p>
            <w:pPr>
              <w:spacing w:line="3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（4）根据实际工作需要及时召开联络员会议，</w:t>
            </w:r>
            <w:r>
              <w:rPr>
                <w:rFonts w:hint="default"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rPr>
              <w:t>分。</w:t>
            </w:r>
          </w:p>
        </w:tc>
        <w:tc>
          <w:tcPr>
            <w:tcW w:w="572" w:type="dxa"/>
            <w:vMerge w:val="continue"/>
            <w:noWrap w:val="0"/>
            <w:vAlign w:val="center"/>
          </w:tcPr>
          <w:p>
            <w:pPr>
              <w:spacing w:line="300" w:lineRule="exact"/>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spacing w:line="300" w:lineRule="exact"/>
              <w:jc w:val="left"/>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市创建办</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spacing w:line="3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2.辖区政府将慢性病防控工作纳入当地政府经济社会发展规划。</w:t>
            </w:r>
          </w:p>
        </w:tc>
        <w:tc>
          <w:tcPr>
            <w:tcW w:w="2700" w:type="dxa"/>
            <w:noWrap w:val="0"/>
            <w:tcMar>
              <w:top w:w="15" w:type="dxa"/>
              <w:left w:w="15" w:type="dxa"/>
              <w:bottom w:w="15" w:type="dxa"/>
              <w:right w:w="15" w:type="dxa"/>
            </w:tcMar>
            <w:vAlign w:val="center"/>
          </w:tcPr>
          <w:p>
            <w:pPr>
              <w:spacing w:line="3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（1）慢性病防控工作纳入政府社会经济发展规划，</w:t>
            </w:r>
            <w:r>
              <w:rPr>
                <w:rFonts w:hint="default" w:ascii="Times New Roman" w:hAnsi="Times New Roman" w:eastAsia="方正仿宋_GBK" w:cs="Times New Roman"/>
                <w:color w:val="auto"/>
                <w:sz w:val="18"/>
                <w:szCs w:val="18"/>
                <w:lang w:val="en-US" w:eastAsia="zh-CN"/>
              </w:rPr>
              <w:t>2</w:t>
            </w:r>
            <w:r>
              <w:rPr>
                <w:rFonts w:hint="default" w:ascii="Times New Roman" w:hAnsi="Times New Roman" w:eastAsia="方正仿宋_GBK" w:cs="Times New Roman"/>
                <w:color w:val="auto"/>
                <w:sz w:val="18"/>
                <w:szCs w:val="18"/>
              </w:rPr>
              <w:t>分。</w:t>
            </w:r>
          </w:p>
        </w:tc>
        <w:tc>
          <w:tcPr>
            <w:tcW w:w="572" w:type="dxa"/>
            <w:vMerge w:val="restart"/>
            <w:noWrap w:val="0"/>
            <w:tcMar>
              <w:top w:w="15" w:type="dxa"/>
              <w:left w:w="15" w:type="dxa"/>
              <w:bottom w:w="15" w:type="dxa"/>
              <w:right w:w="15" w:type="dxa"/>
            </w:tcMar>
            <w:vAlign w:val="center"/>
          </w:tcPr>
          <w:p>
            <w:pPr>
              <w:spacing w:line="300" w:lineRule="exact"/>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3</w:t>
            </w:r>
          </w:p>
        </w:tc>
        <w:tc>
          <w:tcPr>
            <w:tcW w:w="1470" w:type="dxa"/>
            <w:vMerge w:val="restart"/>
            <w:noWrap w:val="0"/>
            <w:tcMar>
              <w:top w:w="15" w:type="dxa"/>
              <w:left w:w="15" w:type="dxa"/>
              <w:bottom w:w="15" w:type="dxa"/>
              <w:right w:w="15" w:type="dxa"/>
            </w:tcMar>
            <w:vAlign w:val="center"/>
          </w:tcPr>
          <w:p>
            <w:pPr>
              <w:spacing w:line="300" w:lineRule="exact"/>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市发改局</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300" w:lineRule="exact"/>
              <w:rPr>
                <w:rFonts w:hint="default" w:ascii="Times New Roman" w:hAnsi="Times New Roman" w:eastAsia="方正仿宋_GBK" w:cs="Times New Roman"/>
                <w:color w:val="auto"/>
                <w:sz w:val="18"/>
                <w:szCs w:val="18"/>
              </w:rPr>
            </w:pPr>
          </w:p>
        </w:tc>
        <w:tc>
          <w:tcPr>
            <w:tcW w:w="2700" w:type="dxa"/>
            <w:noWrap w:val="0"/>
            <w:vAlign w:val="center"/>
          </w:tcPr>
          <w:p>
            <w:pPr>
              <w:spacing w:line="3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（2）政府制定慢性病综合防控示范区建设实施方案，</w:t>
            </w:r>
            <w:r>
              <w:rPr>
                <w:rFonts w:hint="default"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rPr>
              <w:t>分。</w:t>
            </w:r>
          </w:p>
        </w:tc>
        <w:tc>
          <w:tcPr>
            <w:tcW w:w="572" w:type="dxa"/>
            <w:vMerge w:val="continue"/>
            <w:noWrap w:val="0"/>
            <w:vAlign w:val="center"/>
          </w:tcPr>
          <w:p>
            <w:pPr>
              <w:spacing w:line="300" w:lineRule="exact"/>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spacing w:line="300" w:lineRule="exact"/>
              <w:jc w:val="left"/>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市创建办</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spacing w:line="3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3.慢性病防控融入各部门政策规章制度，有烟草控制、降低有害饮酒、减盐、控油、控制体重、全民健身等慢性病危险因素干预、疾病管理相关的政策规章制度。</w:t>
            </w:r>
          </w:p>
        </w:tc>
        <w:tc>
          <w:tcPr>
            <w:tcW w:w="2700" w:type="dxa"/>
            <w:noWrap w:val="0"/>
            <w:tcMar>
              <w:top w:w="15" w:type="dxa"/>
              <w:left w:w="15" w:type="dxa"/>
              <w:bottom w:w="15" w:type="dxa"/>
              <w:right w:w="15" w:type="dxa"/>
            </w:tcMar>
            <w:vAlign w:val="center"/>
          </w:tcPr>
          <w:p>
            <w:pPr>
              <w:spacing w:line="3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抽查5个部门制定落实相关健康政策情况。</w:t>
            </w:r>
          </w:p>
        </w:tc>
        <w:tc>
          <w:tcPr>
            <w:tcW w:w="572" w:type="dxa"/>
            <w:vMerge w:val="restart"/>
            <w:noWrap w:val="0"/>
            <w:tcMar>
              <w:top w:w="15" w:type="dxa"/>
              <w:left w:w="15" w:type="dxa"/>
              <w:bottom w:w="15" w:type="dxa"/>
              <w:right w:w="15" w:type="dxa"/>
            </w:tcMar>
            <w:vAlign w:val="center"/>
          </w:tcPr>
          <w:p>
            <w:pPr>
              <w:spacing w:line="30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5</w:t>
            </w:r>
          </w:p>
        </w:tc>
        <w:tc>
          <w:tcPr>
            <w:tcW w:w="1470" w:type="dxa"/>
            <w:vMerge w:val="restart"/>
            <w:noWrap w:val="0"/>
            <w:tcMar>
              <w:top w:w="15" w:type="dxa"/>
              <w:left w:w="15" w:type="dxa"/>
              <w:bottom w:w="15" w:type="dxa"/>
              <w:right w:w="15" w:type="dxa"/>
            </w:tcMar>
            <w:vAlign w:val="center"/>
          </w:tcPr>
          <w:p>
            <w:pPr>
              <w:spacing w:line="300" w:lineRule="exact"/>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随机抽查5个部门年度工作计划的政策相关内容的体现和落实情况；抽查2个部门员工，简单问询对本部门该政策的知晓与落实情况。</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所有成员单位</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市创建办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（1）凡制定并落实，每个部门得1分，满分5分。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（2）制定但没有落实，每个部门得0.5分。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4.示范区建设领导小组建立工作督导制度，开展示范区建设的多部门联合督导。</w:t>
            </w: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w:t>
            </w:r>
            <w:r>
              <w:rPr>
                <w:rFonts w:hint="default" w:ascii="Times New Roman" w:hAnsi="Times New Roman" w:eastAsia="方正仿宋_GBK" w:cs="Times New Roman"/>
                <w:color w:val="auto"/>
                <w:sz w:val="18"/>
                <w:szCs w:val="18"/>
                <w:lang w:val="en-US" w:eastAsia="zh-CN"/>
              </w:rPr>
              <w:t>辖区政府主导</w:t>
            </w:r>
            <w:r>
              <w:rPr>
                <w:rFonts w:hint="default" w:ascii="Times New Roman" w:hAnsi="Times New Roman" w:eastAsia="方正仿宋_GBK" w:cs="Times New Roman"/>
                <w:color w:val="auto"/>
                <w:sz w:val="18"/>
                <w:szCs w:val="18"/>
              </w:rPr>
              <w:t>每年组织2次由5个及以上部门参与的联合督导，每次得1分；低于5个部门参与得0.5分。</w:t>
            </w:r>
            <w:r>
              <w:rPr>
                <w:rFonts w:hint="default" w:ascii="Times New Roman" w:hAnsi="Times New Roman" w:eastAsia="方正仿宋_GBK" w:cs="Times New Roman"/>
                <w:color w:val="auto"/>
                <w:kern w:val="0"/>
                <w:sz w:val="18"/>
                <w:szCs w:val="18"/>
              </w:rPr>
              <w:t>对于在政府主导下采用第三方督导的，每年组织2次，每次得1分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5</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随机抽取1-2个参与合作部门的职能科室负责人，询问3项基本机制的落实情况。</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市创建办</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（2）督导内容主要包括部门合作建立的信息沟通共享、激励问责、质量控制等3个基本运行机制情况，每个机制分值为1分。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（二）保障慢性病防控经费。（10分）</w:t>
            </w: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1.慢性病防控工作经费纳入政府年度预算、决算管理。</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w:t>
            </w:r>
            <w:r>
              <w:rPr>
                <w:rFonts w:hint="default" w:ascii="Times New Roman" w:hAnsi="Times New Roman" w:eastAsia="方正仿宋_GBK" w:cs="Times New Roman"/>
                <w:color w:val="auto"/>
                <w:kern w:val="0"/>
                <w:sz w:val="18"/>
                <w:szCs w:val="18"/>
              </w:rPr>
              <w:t>慢性病防控工作经费纳入政府预算、决算管理，各2分，共4分</w:t>
            </w:r>
            <w:r>
              <w:rPr>
                <w:rFonts w:hint="default" w:ascii="Times New Roman" w:hAnsi="Times New Roman" w:eastAsia="方正仿宋_GBK" w:cs="Times New Roman"/>
                <w:color w:val="auto"/>
                <w:sz w:val="18"/>
                <w:szCs w:val="18"/>
              </w:rPr>
              <w:t>。</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5</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市财政局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（2）经费预算执行率100%，1分。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2.辖区政府按规划、计划提供示范区建设专项工作经费，专款专用。</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（1）辖区提供示范区建设专项工作经费，3分。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5</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市财政局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（2）慢性病防控经费专项管理，确保专款专用，2分。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（三）建立有效的绩效管理及评价机制。（1</w:t>
            </w:r>
            <w:r>
              <w:rPr>
                <w:rFonts w:hint="default"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rPr>
              <w:t>分）</w:t>
            </w: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1.辖区政府将示范区建设实施方案相关工作纳入各相关部门年度目标管理。</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（1）辖区政府将示范区建设工作纳入各相关部门年度目标管理，纳入绩效考核目标工作，2分。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查阅相关部门的年度计划和年终评价的相关资料。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市政府办</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jc w:val="center"/>
        </w:trPr>
        <w:tc>
          <w:tcPr>
            <w:tcW w:w="840" w:type="dxa"/>
            <w:vMerge w:val="continue"/>
            <w:noWrap w:val="0"/>
            <w:vAlign w:val="center"/>
          </w:tcPr>
          <w:p>
            <w:pPr>
              <w:rPr>
                <w:rFonts w:hint="default" w:ascii="Times New Roman" w:hAnsi="Times New Roman" w:eastAsia="方正仿宋_GBK" w:cs="Times New Roman"/>
                <w:color w:val="auto"/>
                <w:sz w:val="21"/>
                <w:szCs w:val="21"/>
              </w:rPr>
            </w:pPr>
          </w:p>
        </w:tc>
        <w:tc>
          <w:tcPr>
            <w:tcW w:w="1050" w:type="dxa"/>
            <w:vMerge w:val="continue"/>
            <w:noWrap w:val="0"/>
            <w:vAlign w:val="center"/>
          </w:tcPr>
          <w:p>
            <w:pPr>
              <w:rPr>
                <w:rFonts w:hint="default" w:ascii="Times New Roman" w:hAnsi="Times New Roman" w:eastAsia="方正仿宋_GBK" w:cs="Times New Roman"/>
                <w:color w:val="auto"/>
                <w:sz w:val="21"/>
                <w:szCs w:val="21"/>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270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（2）抽查5个部门执行情况，发现2个及以上部门没纳入目标管理和绩效考核者不得分。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21"/>
                <w:szCs w:val="21"/>
              </w:rPr>
            </w:pPr>
          </w:p>
        </w:tc>
        <w:tc>
          <w:tcPr>
            <w:tcW w:w="1050" w:type="dxa"/>
            <w:vMerge w:val="continue"/>
            <w:noWrap w:val="0"/>
            <w:vAlign w:val="center"/>
          </w:tcPr>
          <w:p>
            <w:pPr>
              <w:rPr>
                <w:rFonts w:hint="default" w:ascii="Times New Roman" w:hAnsi="Times New Roman" w:eastAsia="方正仿宋_GBK" w:cs="Times New Roman"/>
                <w:color w:val="auto"/>
                <w:sz w:val="21"/>
                <w:szCs w:val="21"/>
              </w:rPr>
            </w:pPr>
          </w:p>
        </w:tc>
        <w:tc>
          <w:tcPr>
            <w:tcW w:w="1663"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2.辖区政府将示范区建设实施方案相关工作纳入各部门绩效考核，落实问责制。</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抽取</w:t>
            </w:r>
            <w:r>
              <w:rPr>
                <w:rFonts w:hint="default" w:ascii="Times New Roman" w:hAnsi="Times New Roman" w:eastAsia="方正仿宋_GBK" w:cs="Times New Roman"/>
                <w:color w:val="auto"/>
                <w:kern w:val="0"/>
                <w:sz w:val="18"/>
                <w:szCs w:val="18"/>
                <w:lang w:val="en-US" w:eastAsia="zh-CN"/>
              </w:rPr>
              <w:t>5</w:t>
            </w:r>
            <w:r>
              <w:rPr>
                <w:rFonts w:hint="default" w:ascii="Times New Roman" w:hAnsi="Times New Roman" w:eastAsia="方正仿宋_GBK" w:cs="Times New Roman"/>
                <w:color w:val="auto"/>
                <w:kern w:val="0"/>
                <w:sz w:val="18"/>
                <w:szCs w:val="18"/>
              </w:rPr>
              <w:t>个相关部门职能科室，询问相关职责知晓与执行情况。部门履职合格的覆盖率达100%，</w:t>
            </w:r>
            <w:r>
              <w:rPr>
                <w:rFonts w:hint="default" w:ascii="Times New Roman" w:hAnsi="Times New Roman" w:eastAsia="方正仿宋_GBK" w:cs="Times New Roman"/>
                <w:color w:val="auto"/>
                <w:kern w:val="0"/>
                <w:sz w:val="18"/>
                <w:szCs w:val="18"/>
                <w:lang w:val="en-US" w:eastAsia="zh-CN"/>
              </w:rPr>
              <w:t>5</w:t>
            </w:r>
            <w:r>
              <w:rPr>
                <w:rFonts w:hint="default" w:ascii="Times New Roman" w:hAnsi="Times New Roman" w:eastAsia="方正仿宋_GBK" w:cs="Times New Roman"/>
                <w:color w:val="auto"/>
                <w:kern w:val="0"/>
                <w:sz w:val="18"/>
                <w:szCs w:val="18"/>
              </w:rPr>
              <w:t>分。</w:t>
            </w:r>
          </w:p>
        </w:tc>
        <w:tc>
          <w:tcPr>
            <w:tcW w:w="572"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5</w:t>
            </w:r>
          </w:p>
        </w:tc>
        <w:tc>
          <w:tcPr>
            <w:tcW w:w="1470" w:type="dxa"/>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查阅资料，现场询问。</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市创建办</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21"/>
                <w:szCs w:val="21"/>
              </w:rPr>
            </w:pPr>
          </w:p>
        </w:tc>
        <w:tc>
          <w:tcPr>
            <w:tcW w:w="1050" w:type="dxa"/>
            <w:vMerge w:val="continue"/>
            <w:noWrap w:val="0"/>
            <w:vAlign w:val="center"/>
          </w:tcPr>
          <w:p>
            <w:pPr>
              <w:rPr>
                <w:rFonts w:hint="default" w:ascii="Times New Roman" w:hAnsi="Times New Roman" w:eastAsia="方正仿宋_GBK" w:cs="Times New Roman"/>
                <w:color w:val="auto"/>
                <w:sz w:val="21"/>
                <w:szCs w:val="21"/>
              </w:rPr>
            </w:pPr>
          </w:p>
        </w:tc>
        <w:tc>
          <w:tcPr>
            <w:tcW w:w="1663"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3.采用多种形式获取群众对辖区慢性病综合防控的参与度和满意度。</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采用多种形式获取群众对辖区慢性病综合防控的参与度和满意度，并形成相关评价报告，4分。</w:t>
            </w:r>
          </w:p>
        </w:tc>
        <w:tc>
          <w:tcPr>
            <w:tcW w:w="572"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4</w:t>
            </w:r>
          </w:p>
        </w:tc>
        <w:tc>
          <w:tcPr>
            <w:tcW w:w="1470" w:type="dxa"/>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查阅资料，现场询问。</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市卫健局</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21"/>
                <w:szCs w:val="21"/>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18"/>
                <w:szCs w:val="18"/>
              </w:rPr>
              <w:t>（四）辖区政府定期发布慢性病及社会影响因素状况报告。（21分）</w:t>
            </w: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18"/>
                <w:szCs w:val="18"/>
              </w:rPr>
              <w:t>1.辖区政府定期发布慢性病及社会影响因素状况报告。</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kern w:val="0"/>
                <w:sz w:val="18"/>
                <w:szCs w:val="18"/>
              </w:rPr>
              <w:t>（1）辖区政府定期发布慢性病及社会影响因素状况报告，3分；其余0分。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5</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查阅资料。</w:t>
            </w:r>
          </w:p>
        </w:tc>
        <w:tc>
          <w:tcPr>
            <w:tcW w:w="1155" w:type="dxa"/>
            <w:vMerge w:val="restart"/>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市政府办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21"/>
                <w:szCs w:val="21"/>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0"/>
                <w:sz w:val="18"/>
                <w:szCs w:val="18"/>
              </w:rPr>
            </w:pPr>
          </w:p>
        </w:tc>
        <w:tc>
          <w:tcPr>
            <w:tcW w:w="1663"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0"/>
                <w:sz w:val="21"/>
                <w:szCs w:val="21"/>
              </w:rPr>
            </w:pP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kern w:val="0"/>
                <w:sz w:val="18"/>
                <w:szCs w:val="18"/>
              </w:rPr>
              <w:t>（2）报告主要结果用于政府工作报告，2分；其余0分。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21"/>
                <w:szCs w:val="21"/>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0"/>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18"/>
                <w:szCs w:val="18"/>
              </w:rPr>
              <w:t>2.辖区居民健康状况优于全国平均水平。</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kern w:val="0"/>
                <w:sz w:val="18"/>
                <w:szCs w:val="18"/>
              </w:rPr>
              <w:t xml:space="preserve">（1）重大慢性病过早死亡率5年下降≥10%，8分；5%-10%，3分，其余0分。 </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16</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查阅资料。</w:t>
            </w:r>
          </w:p>
        </w:tc>
        <w:tc>
          <w:tcPr>
            <w:tcW w:w="1155" w:type="dxa"/>
            <w:vMerge w:val="restart"/>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val="en-US" w:eastAsia="zh-CN"/>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各医疗卫生机构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21"/>
                <w:szCs w:val="21"/>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0"/>
                <w:sz w:val="21"/>
                <w:szCs w:val="21"/>
              </w:rPr>
            </w:pPr>
          </w:p>
        </w:tc>
        <w:tc>
          <w:tcPr>
            <w:tcW w:w="1663"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0"/>
                <w:sz w:val="21"/>
                <w:szCs w:val="21"/>
              </w:rPr>
            </w:pPr>
          </w:p>
        </w:tc>
        <w:tc>
          <w:tcPr>
            <w:tcW w:w="2700" w:type="dxa"/>
            <w:noWrap w:val="0"/>
            <w:tcMar>
              <w:top w:w="15" w:type="dxa"/>
              <w:left w:w="15" w:type="dxa"/>
              <w:bottom w:w="15" w:type="dxa"/>
              <w:right w:w="15" w:type="dxa"/>
            </w:tcMar>
            <w:vAlign w:val="center"/>
          </w:tcPr>
          <w:p>
            <w:pPr>
              <w:widowControl/>
              <w:jc w:val="left"/>
              <w:textAlignment w:val="top"/>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kern w:val="0"/>
                <w:sz w:val="18"/>
                <w:szCs w:val="18"/>
              </w:rPr>
              <w:t>（2）心脑血管疾病标化死亡率降至205.1/10万及以下，4分；205.1-209.7/10万，2分；高于209.7/10万不得分。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0"/>
                <w:sz w:val="18"/>
                <w:szCs w:val="18"/>
              </w:rPr>
            </w:pPr>
          </w:p>
        </w:tc>
        <w:tc>
          <w:tcPr>
            <w:tcW w:w="1663"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0"/>
                <w:sz w:val="18"/>
                <w:szCs w:val="18"/>
              </w:rPr>
            </w:pP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（3）70岁及以下人群慢性呼吸系统疾病标化死亡率降至9.0/10万及以下，4分；高于9.0/10万不得分。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840"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二、</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环境</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支持</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w:t>
            </w:r>
            <w:r>
              <w:rPr>
                <w:rFonts w:hint="default" w:ascii="Times New Roman" w:hAnsi="Times New Roman" w:eastAsia="方正仿宋_GBK" w:cs="Times New Roman"/>
                <w:color w:val="auto"/>
                <w:sz w:val="18"/>
                <w:szCs w:val="18"/>
                <w:lang w:val="en-US" w:eastAsia="zh-CN"/>
              </w:rPr>
              <w:t>35</w:t>
            </w:r>
            <w:r>
              <w:rPr>
                <w:rFonts w:hint="default" w:ascii="Times New Roman" w:hAnsi="Times New Roman" w:eastAsia="方正仿宋_GBK" w:cs="Times New Roman"/>
                <w:color w:val="auto"/>
                <w:sz w:val="18"/>
                <w:szCs w:val="18"/>
              </w:rPr>
              <w:t>分）</w:t>
            </w: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（一）构建全方位健康支持性环境。（9分）</w:t>
            </w: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1.按照国家标准开展健康社区、单位、学校、食堂、餐厅/酒店建设，数量逐年增加。</w:t>
            </w:r>
            <w:r>
              <w:rPr>
                <w:rFonts w:hint="default" w:ascii="Times New Roman" w:hAnsi="Times New Roman" w:eastAsia="方正仿宋_GBK" w:cs="Times New Roman"/>
                <w:color w:val="auto"/>
                <w:sz w:val="18"/>
                <w:szCs w:val="18"/>
              </w:rPr>
              <w:t>。</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w:t>
            </w:r>
            <w:r>
              <w:rPr>
                <w:rFonts w:hint="default" w:ascii="Times New Roman" w:hAnsi="Times New Roman" w:eastAsia="方正仿宋_GBK" w:cs="Times New Roman"/>
                <w:color w:val="auto"/>
                <w:kern w:val="0"/>
                <w:sz w:val="18"/>
                <w:szCs w:val="18"/>
              </w:rPr>
              <w:t>健康社区占辖区社区总数≥30%，1分； 30%以下0分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5</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查看健康支持性环境的名单,现场随机抽查每类1个。</w:t>
            </w:r>
          </w:p>
        </w:tc>
        <w:tc>
          <w:tcPr>
            <w:tcW w:w="1155" w:type="dxa"/>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健康社区由勐</w:t>
            </w:r>
            <w:r>
              <w:rPr>
                <w:rFonts w:hint="default" w:ascii="Times New Roman" w:hAnsi="Times New Roman" w:eastAsia="方正仿宋_GBK" w:cs="Times New Roman"/>
                <w:color w:val="auto"/>
                <w:sz w:val="18"/>
                <w:szCs w:val="18"/>
                <w:lang w:val="en-US" w:eastAsia="zh-CN"/>
              </w:rPr>
              <w:t>卯</w:t>
            </w:r>
            <w:r>
              <w:rPr>
                <w:rFonts w:hint="default" w:ascii="Times New Roman" w:hAnsi="Times New Roman" w:eastAsia="方正仿宋_GBK" w:cs="Times New Roman"/>
                <w:color w:val="auto"/>
                <w:sz w:val="18"/>
                <w:szCs w:val="18"/>
              </w:rPr>
              <w:t>街道</w:t>
            </w:r>
            <w:r>
              <w:rPr>
                <w:rFonts w:hint="default" w:ascii="Times New Roman" w:hAnsi="Times New Roman" w:eastAsia="方正仿宋_GBK" w:cs="Times New Roman"/>
                <w:color w:val="auto"/>
                <w:sz w:val="18"/>
                <w:szCs w:val="18"/>
                <w:lang w:val="en-US" w:eastAsia="zh-CN"/>
              </w:rPr>
              <w:t>办事处</w:t>
            </w:r>
            <w:r>
              <w:rPr>
                <w:rFonts w:hint="default" w:ascii="Times New Roman" w:hAnsi="Times New Roman" w:eastAsia="方正仿宋_GBK" w:cs="Times New Roman"/>
                <w:color w:val="auto"/>
                <w:sz w:val="18"/>
                <w:szCs w:val="18"/>
              </w:rPr>
              <w:t>牵头</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w:t>
            </w:r>
            <w:r>
              <w:rPr>
                <w:rFonts w:hint="default" w:ascii="Times New Roman" w:hAnsi="Times New Roman" w:eastAsia="方正仿宋_GBK" w:cs="Times New Roman"/>
                <w:color w:val="auto"/>
                <w:kern w:val="0"/>
                <w:sz w:val="18"/>
                <w:szCs w:val="18"/>
              </w:rPr>
              <w:t>健康单位、学校、食堂、餐厅/酒店每类不少于5个，每类1分；每少1个扣0.5分。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restart"/>
            <w:noWrap w:val="0"/>
            <w:vAlign w:val="center"/>
          </w:tcPr>
          <w:p>
            <w:pPr>
              <w:spacing w:line="20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健康单位由市</w:t>
            </w:r>
            <w:r>
              <w:rPr>
                <w:rFonts w:hint="default" w:ascii="Times New Roman" w:hAnsi="Times New Roman" w:eastAsia="方正仿宋_GBK" w:cs="Times New Roman"/>
                <w:color w:val="auto"/>
                <w:sz w:val="18"/>
                <w:szCs w:val="18"/>
                <w:lang w:val="en-US" w:eastAsia="zh-CN"/>
              </w:rPr>
              <w:t>卫生健康</w:t>
            </w:r>
            <w:r>
              <w:rPr>
                <w:rFonts w:hint="default" w:ascii="Times New Roman" w:hAnsi="Times New Roman" w:eastAsia="方正仿宋_GBK" w:cs="Times New Roman"/>
                <w:color w:val="auto"/>
                <w:sz w:val="18"/>
                <w:szCs w:val="18"/>
              </w:rPr>
              <w:t>局负责牵头；健康学校由市教育体育局负责牵头；健康餐饮（食堂、餐厅/酒店）建设由市市场监督管理局负责牵头</w:t>
            </w:r>
          </w:p>
        </w:tc>
        <w:tc>
          <w:tcPr>
            <w:tcW w:w="1155" w:type="dxa"/>
            <w:vMerge w:val="restart"/>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w:t>
            </w:r>
            <w:r>
              <w:rPr>
                <w:rFonts w:hint="default" w:ascii="Times New Roman" w:hAnsi="Times New Roman" w:eastAsia="方正仿宋_GBK" w:cs="Times New Roman"/>
                <w:color w:val="auto"/>
                <w:kern w:val="0"/>
                <w:sz w:val="18"/>
                <w:szCs w:val="18"/>
              </w:rPr>
              <w:t>现场调研发现每类中有1个不达标，该类不得分。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sz w:val="18"/>
                <w:szCs w:val="18"/>
              </w:rPr>
              <w:t>（4）复审：</w:t>
            </w:r>
            <w:r>
              <w:rPr>
                <w:rFonts w:hint="default" w:ascii="Times New Roman" w:hAnsi="Times New Roman" w:eastAsia="方正仿宋_GBK" w:cs="Times New Roman"/>
                <w:color w:val="auto"/>
                <w:kern w:val="0"/>
                <w:sz w:val="18"/>
                <w:szCs w:val="18"/>
              </w:rPr>
              <w:t>健康社区覆盖率逐年增加5%或达到40%及以上，1分。</w:t>
            </w:r>
          </w:p>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健康单位、学校、食堂、餐厅/酒店每年增加2个或每类达到10个及以上，每类1分，每年增加未达标者该类不得分。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2.按照国家标准开展健康主题公园、步道、小屋、健康街区等健康支持性环境建设，数量逐年增加。</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w:t>
            </w:r>
            <w:r>
              <w:rPr>
                <w:rFonts w:hint="default" w:ascii="Times New Roman" w:hAnsi="Times New Roman" w:eastAsia="方正仿宋_GBK" w:cs="Times New Roman"/>
                <w:color w:val="auto"/>
                <w:kern w:val="0"/>
                <w:sz w:val="18"/>
                <w:szCs w:val="18"/>
              </w:rPr>
              <w:t>健康主题公园、步道、小屋、街区、超市、社团等，每建设1类，1分，满分4分。</w:t>
            </w:r>
          </w:p>
        </w:tc>
        <w:tc>
          <w:tcPr>
            <w:tcW w:w="572" w:type="dxa"/>
            <w:vMerge w:val="restart"/>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4</w:t>
            </w:r>
          </w:p>
        </w:tc>
        <w:tc>
          <w:tcPr>
            <w:tcW w:w="1470" w:type="dxa"/>
            <w:vMerge w:val="restart"/>
            <w:noWrap w:val="0"/>
            <w:tcMar>
              <w:top w:w="15" w:type="dxa"/>
              <w:left w:w="15" w:type="dxa"/>
              <w:bottom w:w="15" w:type="dxa"/>
              <w:right w:w="15" w:type="dxa"/>
            </w:tcMar>
            <w:vAlign w:val="center"/>
          </w:tcPr>
          <w:p>
            <w:pPr>
              <w:spacing w:line="240" w:lineRule="exact"/>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查看健康支持性环境的名单,现场随机抽查每类1个。</w:t>
            </w:r>
          </w:p>
        </w:tc>
        <w:tc>
          <w:tcPr>
            <w:tcW w:w="1155" w:type="dxa"/>
            <w:vMerge w:val="restart"/>
            <w:noWrap w:val="0"/>
            <w:tcMar>
              <w:top w:w="15" w:type="dxa"/>
              <w:left w:w="15" w:type="dxa"/>
              <w:bottom w:w="15" w:type="dxa"/>
              <w:right w:w="15" w:type="dxa"/>
            </w:tcMar>
            <w:vAlign w:val="center"/>
          </w:tcPr>
          <w:p>
            <w:pPr>
              <w:spacing w:line="200" w:lineRule="exact"/>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rPr>
              <w:t>健康主题公园、</w:t>
            </w:r>
            <w:r>
              <w:rPr>
                <w:rFonts w:hint="default" w:ascii="Times New Roman" w:hAnsi="Times New Roman" w:eastAsia="方正仿宋_GBK" w:cs="Times New Roman"/>
                <w:color w:val="auto"/>
                <w:sz w:val="18"/>
                <w:szCs w:val="18"/>
                <w:lang w:val="en-US" w:eastAsia="zh-CN"/>
              </w:rPr>
              <w:t>街区</w:t>
            </w:r>
            <w:r>
              <w:rPr>
                <w:rFonts w:hint="default" w:ascii="Times New Roman" w:hAnsi="Times New Roman" w:eastAsia="方正仿宋_GBK" w:cs="Times New Roman"/>
                <w:color w:val="auto"/>
                <w:sz w:val="18"/>
                <w:szCs w:val="18"/>
              </w:rPr>
              <w:t>由市住房和城乡规划建设局负责牵头；</w:t>
            </w:r>
            <w:r>
              <w:rPr>
                <w:rFonts w:hint="default" w:ascii="Times New Roman" w:hAnsi="Times New Roman" w:eastAsia="方正仿宋_GBK" w:cs="Times New Roman"/>
                <w:color w:val="auto"/>
                <w:sz w:val="18"/>
                <w:szCs w:val="18"/>
                <w:lang w:val="en-US" w:eastAsia="zh-CN"/>
              </w:rPr>
              <w:t>健康步道、社团由市教育体育局负责牵头；健康小屋由市卫健局牵头；健康超市由</w:t>
            </w:r>
            <w:r>
              <w:rPr>
                <w:rFonts w:hint="default" w:ascii="Times New Roman" w:hAnsi="Times New Roman" w:eastAsia="方正仿宋_GBK" w:cs="Times New Roman"/>
                <w:color w:val="auto"/>
                <w:sz w:val="18"/>
                <w:szCs w:val="18"/>
              </w:rPr>
              <w:t>市市场监督管理局负责牵头</w:t>
            </w:r>
          </w:p>
        </w:tc>
        <w:tc>
          <w:tcPr>
            <w:tcW w:w="1155"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（2）现场评估发现1个不达标，该类不得分。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w:t>
            </w:r>
            <w:r>
              <w:rPr>
                <w:rFonts w:hint="default" w:ascii="Times New Roman" w:hAnsi="Times New Roman" w:eastAsia="方正仿宋_GBK" w:cs="Times New Roman"/>
                <w:color w:val="auto"/>
                <w:kern w:val="0"/>
                <w:sz w:val="18"/>
                <w:szCs w:val="18"/>
              </w:rPr>
              <w:t>复审：健康步道、小屋等数量逐年有增加或每类建设数量达到3个，每类2分，满分4分，未达标者该类不得分。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（二）为群众提供方便、可及的自助式健康检测服务。（</w:t>
            </w:r>
            <w:r>
              <w:rPr>
                <w:rFonts w:hint="default" w:ascii="Times New Roman" w:hAnsi="Times New Roman" w:eastAsia="方正仿宋_GBK" w:cs="Times New Roman"/>
                <w:color w:val="auto"/>
                <w:sz w:val="18"/>
                <w:szCs w:val="18"/>
                <w:lang w:val="en-US" w:eastAsia="zh-CN"/>
              </w:rPr>
              <w:t>4</w:t>
            </w:r>
            <w:r>
              <w:rPr>
                <w:rFonts w:hint="default" w:ascii="Times New Roman" w:hAnsi="Times New Roman" w:eastAsia="方正仿宋_GBK" w:cs="Times New Roman"/>
                <w:color w:val="auto"/>
                <w:sz w:val="18"/>
                <w:szCs w:val="18"/>
              </w:rPr>
              <w:t>分）</w:t>
            </w: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1.社区卫生服务中心和乡镇卫生院设置自助式健康检测点，并提供个体化健康指导。</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w:t>
            </w:r>
            <w:r>
              <w:rPr>
                <w:rFonts w:hint="default" w:ascii="Times New Roman" w:hAnsi="Times New Roman" w:eastAsia="方正仿宋_GBK" w:cs="Times New Roman"/>
                <w:color w:val="auto"/>
                <w:kern w:val="0"/>
                <w:sz w:val="18"/>
                <w:szCs w:val="18"/>
              </w:rPr>
              <w:t>设置健康检测点的机构覆盖率达100%，1分；其他0分</w:t>
            </w:r>
            <w:r>
              <w:rPr>
                <w:rFonts w:hint="default" w:ascii="Times New Roman" w:hAnsi="Times New Roman" w:eastAsia="方正仿宋_GBK" w:cs="Times New Roman"/>
                <w:color w:val="auto"/>
                <w:sz w:val="18"/>
                <w:szCs w:val="18"/>
              </w:rPr>
              <w:t>。</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4</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现场查看医疗机构免费健康检测点的设置、检测结果进入健康档案情况及健康指导的记录。</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各社区卫生服务中心、乡镇卫生院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kern w:val="0"/>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（2）检测结果进入健康档案，实现信息利用。1分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（3）提供个性化健康指导的机构比例≥50%，2分；30-50%，1分； 30%以下0分。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sz w:val="18"/>
                <w:szCs w:val="18"/>
              </w:rPr>
              <w:t>（三）</w:t>
            </w:r>
            <w:r>
              <w:rPr>
                <w:rFonts w:hint="default" w:ascii="Times New Roman" w:hAnsi="Times New Roman" w:eastAsia="方正仿宋_GBK" w:cs="Times New Roman"/>
                <w:color w:val="auto"/>
                <w:kern w:val="0"/>
                <w:sz w:val="18"/>
                <w:szCs w:val="18"/>
              </w:rPr>
              <w:t>开展全民健身运动，普及公共体育设施，提高经常参加体育锻炼人口比例。</w:t>
            </w:r>
          </w:p>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（11分）</w:t>
            </w: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w:t>
            </w:r>
            <w:r>
              <w:rPr>
                <w:rFonts w:hint="default" w:ascii="Times New Roman" w:hAnsi="Times New Roman" w:eastAsia="方正仿宋_GBK" w:cs="Times New Roman"/>
                <w:color w:val="auto"/>
                <w:kern w:val="0"/>
                <w:sz w:val="18"/>
                <w:szCs w:val="18"/>
              </w:rPr>
              <w:t>社区建设15分钟健身圈，居民健身设施完好，提高人均体育场地面积。</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w:t>
            </w:r>
            <w:r>
              <w:rPr>
                <w:rFonts w:hint="default" w:ascii="Times New Roman" w:hAnsi="Times New Roman" w:eastAsia="方正仿宋_GBK" w:cs="Times New Roman"/>
                <w:color w:val="auto"/>
                <w:kern w:val="0"/>
                <w:sz w:val="18"/>
                <w:szCs w:val="18"/>
              </w:rPr>
              <w:t>社区15分钟健身圈/农村行政村体育设施覆盖率达到100%，1分；其余0分。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查阅资料，现场随机抽查居委会或村委会。</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市教育体育局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勐卯街道办事处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（2）设备完好100%，0.5分；其余0分。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（3）人均体育场地面积达2平米，0.5分。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 xml:space="preserve">2. </w:t>
            </w:r>
            <w:r>
              <w:rPr>
                <w:rFonts w:hint="default" w:ascii="Times New Roman" w:hAnsi="Times New Roman" w:eastAsia="方正仿宋_GBK" w:cs="Times New Roman"/>
                <w:color w:val="auto"/>
                <w:kern w:val="0"/>
                <w:sz w:val="18"/>
                <w:szCs w:val="18"/>
              </w:rPr>
              <w:t>公共体育场地、有条件的企事业和学校的体育场地免费或低收费向社区居民开放。</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（1）公共体育场地、设施免费或低收费开放比例100%，1分；其余0分。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查阅资料，现场评估，走访辖区居民了解开放情况 。</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市教育体育局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（2）有条件的单位免费或低收费开放比例≥30%，1分；30%以下0分。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3.机关、企事业单位开展工间健身活动，组织符合单位特点的健身和竞赛活动。</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（1）开展工间健身活动单位覆盖率≥80%，1分；80%以下不得分。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查阅资料，现场评估。</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市总工会</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w:t>
            </w:r>
            <w:r>
              <w:rPr>
                <w:rFonts w:hint="default" w:ascii="Times New Roman" w:hAnsi="Times New Roman" w:eastAsia="方正仿宋_GBK" w:cs="Times New Roman"/>
                <w:color w:val="auto"/>
                <w:kern w:val="0"/>
                <w:sz w:val="18"/>
                <w:szCs w:val="18"/>
              </w:rPr>
              <w:t>每年机关、企事业单位组织开展至少1次健身竞赛活动，1分；未开展不得分。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4.实施青少年体育活动促进计划。</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kern w:val="0"/>
                <w:sz w:val="18"/>
                <w:szCs w:val="18"/>
              </w:rPr>
              <w:t>（1）中小学生每天校内体育活动时间不少于1小时的比例达到100%，1 分；100%以下， 0 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市教育体育局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全市各类义务教育学校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（2）国家学生体质健康标准达标优良率（%）≥50%，1分；50%以下，0分。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5.提高经常参加体育锻炼人口比例。</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经常参加体育锻炼人口比例≥40%,3分；35-40%，2分；35%以下 0 分。</w:t>
            </w:r>
          </w:p>
        </w:tc>
        <w:tc>
          <w:tcPr>
            <w:tcW w:w="572" w:type="dxa"/>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3</w:t>
            </w:r>
          </w:p>
        </w:tc>
        <w:tc>
          <w:tcPr>
            <w:tcW w:w="1470" w:type="dxa"/>
            <w:noWrap w:val="0"/>
            <w:tcMar>
              <w:top w:w="15" w:type="dxa"/>
              <w:left w:w="15" w:type="dxa"/>
              <w:bottom w:w="15" w:type="dxa"/>
              <w:right w:w="15" w:type="dxa"/>
            </w:tcMar>
            <w:vAlign w:val="center"/>
          </w:tcPr>
          <w:p>
            <w:pPr>
              <w:spacing w:line="240" w:lineRule="exact"/>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查阅体育部门相关资料。</w:t>
            </w:r>
          </w:p>
        </w:tc>
        <w:tc>
          <w:tcPr>
            <w:tcW w:w="1155" w:type="dxa"/>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市教育体育局</w:t>
            </w:r>
          </w:p>
        </w:tc>
        <w:tc>
          <w:tcPr>
            <w:tcW w:w="1155"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（四）开展烟草控制，降低人群吸烟率。（1</w:t>
            </w:r>
            <w:r>
              <w:rPr>
                <w:rFonts w:hint="default"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rPr>
              <w:t>分）</w:t>
            </w:r>
          </w:p>
        </w:tc>
        <w:tc>
          <w:tcPr>
            <w:tcW w:w="1663"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1.辖区室内公共场所、工作场所和公共交通工具设置禁止吸烟警语和标识。</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辖区100%的室内公共场所、工作场所和公共交通工具全面禁烟，设置禁止吸烟警语和标识，2分；95-100%,1分；95%以下 0分。抽查发现1个单位不合格，不得分。</w:t>
            </w:r>
          </w:p>
        </w:tc>
        <w:tc>
          <w:tcPr>
            <w:tcW w:w="572" w:type="dxa"/>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2</w:t>
            </w:r>
          </w:p>
        </w:tc>
        <w:tc>
          <w:tcPr>
            <w:tcW w:w="1470" w:type="dxa"/>
            <w:noWrap w:val="0"/>
            <w:tcMar>
              <w:top w:w="15" w:type="dxa"/>
              <w:left w:w="15" w:type="dxa"/>
              <w:bottom w:w="15" w:type="dxa"/>
              <w:right w:w="15" w:type="dxa"/>
            </w:tcMar>
            <w:vAlign w:val="center"/>
          </w:tcPr>
          <w:p>
            <w:pPr>
              <w:spacing w:line="240" w:lineRule="exact"/>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现场随机抽查。</w:t>
            </w:r>
          </w:p>
        </w:tc>
        <w:tc>
          <w:tcPr>
            <w:tcW w:w="1155" w:type="dxa"/>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2.禁止烟草广告。</w:t>
            </w: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辖区未发现烟草广告，1分；其余0分。</w:t>
            </w:r>
          </w:p>
        </w:tc>
        <w:tc>
          <w:tcPr>
            <w:tcW w:w="572"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w:t>
            </w:r>
          </w:p>
        </w:tc>
        <w:tc>
          <w:tcPr>
            <w:tcW w:w="1470" w:type="dxa"/>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查阅资料，现场评估。</w:t>
            </w:r>
          </w:p>
        </w:tc>
        <w:tc>
          <w:tcPr>
            <w:tcW w:w="1155" w:type="dxa"/>
            <w:noWrap w:val="0"/>
            <w:tcMar>
              <w:top w:w="15" w:type="dxa"/>
              <w:left w:w="15" w:type="dxa"/>
              <w:bottom w:w="15" w:type="dxa"/>
              <w:right w:w="15" w:type="dxa"/>
            </w:tcMar>
            <w:vAlign w:val="center"/>
          </w:tcPr>
          <w:p>
            <w:pPr>
              <w:spacing w:line="22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市市场监督管理局、市城市综合管理行政执法大队</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3.建设无烟党政机关、无烟医疗卫生计生机构、无烟学校。</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（1）覆盖率均达100%，2分；100%以下0分。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现场随机抽查。</w:t>
            </w:r>
          </w:p>
        </w:tc>
        <w:tc>
          <w:tcPr>
            <w:tcW w:w="1155" w:type="dxa"/>
            <w:vMerge w:val="restart"/>
            <w:noWrap w:val="0"/>
            <w:tcMar>
              <w:top w:w="15" w:type="dxa"/>
              <w:left w:w="15" w:type="dxa"/>
              <w:bottom w:w="15" w:type="dxa"/>
              <w:right w:w="15" w:type="dxa"/>
            </w:tcMar>
            <w:vAlign w:val="center"/>
          </w:tcPr>
          <w:p>
            <w:pPr>
              <w:spacing w:line="20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无烟党政机关、无烟医疗卫生计生机构建设由市爱卫办、市卫生健康局负责牵头；无烟学校建设由市教育体育局负责牵头</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（2）抽查发现1个单位不合格，不得分。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4.</w:t>
            </w:r>
            <w:r>
              <w:rPr>
                <w:rFonts w:hint="default" w:ascii="Times New Roman" w:hAnsi="Times New Roman" w:eastAsia="方正仿宋_GBK" w:cs="Times New Roman"/>
                <w:color w:val="auto"/>
                <w:kern w:val="0"/>
                <w:sz w:val="18"/>
                <w:szCs w:val="18"/>
              </w:rPr>
              <w:t>.辖区各级医疗机构开展简短戒烟服务培训并提供简短戒烟服务。</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(1)开展简短戒烟服务培训的医疗机构覆盖率≥80%，1分；80%以下不得分。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查阅资料,现场抽查医疗机构提供简短戒烟服务的情况。</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w:t>
            </w:r>
            <w:r>
              <w:rPr>
                <w:rFonts w:hint="default" w:ascii="Times New Roman" w:hAnsi="Times New Roman" w:eastAsia="方正仿宋_GBK" w:cs="Times New Roman"/>
                <w:color w:val="auto"/>
                <w:kern w:val="0"/>
                <w:sz w:val="18"/>
                <w:szCs w:val="18"/>
              </w:rPr>
              <w:t>提供简短戒烟服务的医疗机构覆盖率100%，1分；100%以下0分。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5.</w:t>
            </w:r>
            <w:r>
              <w:rPr>
                <w:rFonts w:hint="default" w:ascii="Times New Roman" w:hAnsi="Times New Roman" w:eastAsia="方正仿宋_GBK" w:cs="Times New Roman"/>
                <w:color w:val="auto"/>
                <w:kern w:val="0"/>
                <w:sz w:val="18"/>
                <w:szCs w:val="18"/>
              </w:rPr>
              <w:t>降低辖区15岁及以上人群吸烟率。</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w:t>
            </w:r>
            <w:r>
              <w:rPr>
                <w:rFonts w:hint="default" w:ascii="Times New Roman" w:hAnsi="Times New Roman" w:eastAsia="方正仿宋_GBK" w:cs="Times New Roman"/>
                <w:color w:val="auto"/>
                <w:kern w:val="0"/>
                <w:sz w:val="18"/>
                <w:szCs w:val="18"/>
              </w:rPr>
              <w:t>15岁及以上人群吸烟率低于20%，4分；20%-25%，2分；≥25%不得分。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4</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查阅中国慢性病与营养监测、社会因素调查报告。</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市爱卫办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(2)复审：</w:t>
            </w:r>
            <w:r>
              <w:rPr>
                <w:rFonts w:hint="default" w:ascii="Times New Roman" w:hAnsi="Times New Roman" w:eastAsia="方正仿宋_GBK" w:cs="Times New Roman"/>
                <w:color w:val="auto"/>
                <w:kern w:val="0"/>
                <w:sz w:val="18"/>
                <w:szCs w:val="18"/>
              </w:rPr>
              <w:t>15岁及以上人群吸烟率逐年下降，5年降低10%以上，4分；5年降低5%-10%，2分，其余不得分。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restart"/>
            <w:noWrap w:val="0"/>
            <w:tcMar>
              <w:top w:w="15" w:type="dxa"/>
              <w:left w:w="15" w:type="dxa"/>
              <w:bottom w:w="15" w:type="dxa"/>
              <w:right w:w="15" w:type="dxa"/>
            </w:tcMar>
            <w:vAlign w:val="center"/>
          </w:tcPr>
          <w:p>
            <w:pPr>
              <w:widowControl/>
              <w:jc w:val="center"/>
              <w:textAlignment w:val="top"/>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三、“三减三健”专项行动</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（20分）</w:t>
            </w:r>
          </w:p>
        </w:tc>
        <w:tc>
          <w:tcPr>
            <w:tcW w:w="1050" w:type="dxa"/>
            <w:vMerge w:val="restart"/>
            <w:noWrap w:val="0"/>
            <w:tcMar>
              <w:top w:w="15" w:type="dxa"/>
              <w:left w:w="15" w:type="dxa"/>
              <w:bottom w:w="15" w:type="dxa"/>
              <w:right w:w="15" w:type="dxa"/>
            </w:tcMar>
            <w:vAlign w:val="center"/>
          </w:tcPr>
          <w:p>
            <w:pPr>
              <w:widowControl/>
              <w:jc w:val="center"/>
              <w:textAlignment w:val="top"/>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（一）开展专题宣传。</w:t>
            </w:r>
          </w:p>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（5分）</w:t>
            </w: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1.开展健康生活方式主题日（周）主题宣传（2分）。</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（1）开展健康生活方式日宣传，1分；其余0分。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（2）开展全民营养周、中国减盐周、世界爱牙日、世界骨质疏松日等“三减三健”相关内容的专项宣传，1分；其余0分。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val="en-US" w:eastAsia="zh-CN"/>
              </w:rPr>
              <w:t>2</w:t>
            </w:r>
            <w:r>
              <w:rPr>
                <w:rFonts w:hint="default" w:ascii="Times New Roman" w:hAnsi="Times New Roman" w:eastAsia="方正仿宋_GBK" w:cs="Times New Roman"/>
                <w:color w:val="auto"/>
                <w:kern w:val="0"/>
                <w:sz w:val="18"/>
                <w:szCs w:val="18"/>
              </w:rPr>
              <w:t>.利用传统媒体和新媒体开展健康生活方式的日常宣传（3分）</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（1）充分利用传统媒体和新媒体等宣传方式，1分；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3</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市委宣传部</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（2）宣传内容覆盖“三减三健”各个方面，1分；其余0分。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（3）全年至少6次，1分；其余0分。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restart"/>
            <w:noWrap w:val="0"/>
            <w:tcMar>
              <w:top w:w="15" w:type="dxa"/>
              <w:left w:w="15" w:type="dxa"/>
              <w:bottom w:w="15" w:type="dxa"/>
              <w:right w:w="15" w:type="dxa"/>
            </w:tcMar>
            <w:vAlign w:val="center"/>
          </w:tcPr>
          <w:p>
            <w:pPr>
              <w:widowControl/>
              <w:jc w:val="center"/>
              <w:textAlignment w:val="top"/>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（二）开展专项活动。</w:t>
            </w:r>
          </w:p>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（15分）</w:t>
            </w:r>
          </w:p>
        </w:tc>
        <w:tc>
          <w:tcPr>
            <w:tcW w:w="1663" w:type="dxa"/>
            <w:vMerge w:val="restart"/>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1.适宜技术与工具的推广与评价（11分）</w:t>
            </w:r>
          </w:p>
          <w:p>
            <w:pPr>
              <w:spacing w:line="240" w:lineRule="exact"/>
              <w:ind w:firstLine="455" w:firstLineChars="0"/>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（1）推广使用健康“小三件”（限量盐勺、限量油壶和健康腰围尺），1分。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11</w:t>
            </w:r>
          </w:p>
        </w:tc>
        <w:tc>
          <w:tcPr>
            <w:tcW w:w="1470" w:type="dxa"/>
            <w:vMerge w:val="restart"/>
            <w:noWrap w:val="0"/>
            <w:tcMar>
              <w:top w:w="15" w:type="dxa"/>
              <w:left w:w="15" w:type="dxa"/>
              <w:bottom w:w="15" w:type="dxa"/>
              <w:right w:w="15" w:type="dxa"/>
            </w:tcMar>
            <w:vAlign w:val="center"/>
          </w:tcPr>
          <w:p>
            <w:pPr>
              <w:widowControl/>
              <w:jc w:val="left"/>
              <w:textAlignment w:val="top"/>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查阅资料。</w:t>
            </w:r>
          </w:p>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2018年全省食盐摄入量平均值为6.3克。食用油摄入量平均值为49.9克。</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市卫生健康局</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（2）食盐与食用油的摄入量低于本省平均水平3%及以上,各1分，共2分。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复审：食盐与食用油的摄入量5年下降15%以上，各1分，共2分；10%-15%，各0.5分，共1分；其余0分。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widowControl/>
              <w:tabs>
                <w:tab w:val="left" w:pos="312"/>
              </w:tabs>
              <w:textAlignment w:val="top"/>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（3）辖区内儿童窝沟封闭服务覆盖率≥60%，3分；60%以下0分。</w:t>
            </w:r>
          </w:p>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辖区12岁儿童患龋率&lt;25%，3分；其余0分。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val="en-US" w:eastAsia="zh-CN"/>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（4）将骨密度检测纳入常规体检，逐年提高50岁及以上人群骨密度检测率,2分；其余0分。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2.健康生活方式指导员能力建设。（2分）</w:t>
            </w:r>
          </w:p>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（1）在健康社区的社区工作者中至少有1名健康生活方式指导员，1分；其余0分。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勐</w:t>
            </w:r>
            <w:r>
              <w:rPr>
                <w:rFonts w:hint="default" w:ascii="Times New Roman" w:hAnsi="Times New Roman" w:eastAsia="方正仿宋_GBK" w:cs="Times New Roman"/>
                <w:color w:val="auto"/>
                <w:sz w:val="18"/>
                <w:szCs w:val="18"/>
                <w:lang w:val="en-US" w:eastAsia="zh-CN"/>
              </w:rPr>
              <w:t>卯</w:t>
            </w:r>
            <w:r>
              <w:rPr>
                <w:rFonts w:hint="default" w:ascii="Times New Roman" w:hAnsi="Times New Roman" w:eastAsia="方正仿宋_GBK" w:cs="Times New Roman"/>
                <w:color w:val="auto"/>
                <w:sz w:val="18"/>
                <w:szCs w:val="18"/>
              </w:rPr>
              <w:t>街道</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val="en-US" w:eastAsia="zh-CN"/>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复审：每年至少招募并培训5名健康生活方式指导员，1分，其余0分。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（2）每年举办或者组织参加“三减三健”相关培训至少一次，1分；其余0分。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3.健康生活方式指导员的五进活动。（2分）</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（1）覆盖家庭、社区、学校、单位、医院等五类场所， 1分。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查阅资料。</w:t>
            </w: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kern w:val="0"/>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（2）每年至少开展2项特色现场活动，1分；其余0分。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40" w:type="dxa"/>
            <w:vMerge w:val="restart"/>
            <w:noWrap w:val="0"/>
            <w:tcMar>
              <w:top w:w="15" w:type="dxa"/>
              <w:left w:w="15" w:type="dxa"/>
              <w:bottom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四、体系整合</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（30分）</w:t>
            </w: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（一）建立防治结合、分工协作、优势互补、上下联动的慢性病综合防治体系。（15分）</w:t>
            </w: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1.建立完善慢性病防控服务体系和分工明确、上下联动的工作机制。</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w:t>
            </w:r>
            <w:r>
              <w:rPr>
                <w:rFonts w:hint="default" w:ascii="Times New Roman" w:hAnsi="Times New Roman" w:eastAsia="方正仿宋_GBK" w:cs="Times New Roman"/>
                <w:color w:val="auto"/>
                <w:kern w:val="0"/>
                <w:sz w:val="18"/>
                <w:szCs w:val="18"/>
              </w:rPr>
              <w:t>辖区卫生健康行政部门制定实施慢性病防控服务体系建设的方案，4分；其余0分。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8</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（2）明确专业公共卫生机构、医院和基层医疗卫生机构职责，4分；其余0分。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2.建立完善信息共享、互联互通等的工作机制，推进慢性病防、治、管的整合。</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w:t>
            </w:r>
            <w:r>
              <w:rPr>
                <w:rFonts w:hint="default" w:ascii="Times New Roman" w:hAnsi="Times New Roman" w:eastAsia="方正仿宋_GBK" w:cs="Times New Roman"/>
                <w:color w:val="auto"/>
                <w:kern w:val="0"/>
                <w:sz w:val="18"/>
                <w:szCs w:val="18"/>
              </w:rPr>
              <w:t>卫生健康行政部门负责督导慢性病防控服务体系的有效运行，2分；其余0分。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7</w:t>
            </w:r>
          </w:p>
        </w:tc>
        <w:tc>
          <w:tcPr>
            <w:tcW w:w="1470" w:type="dxa"/>
            <w:vMerge w:val="restart"/>
            <w:noWrap w:val="0"/>
            <w:tcMar>
              <w:top w:w="15" w:type="dxa"/>
              <w:left w:w="15" w:type="dxa"/>
              <w:bottom w:w="15" w:type="dxa"/>
              <w:right w:w="15" w:type="dxa"/>
            </w:tcMar>
            <w:vAlign w:val="center"/>
          </w:tcPr>
          <w:p>
            <w:pPr>
              <w:spacing w:line="240" w:lineRule="exact"/>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查看相关的制度及信息平台,查看防、治、管的情况，查阅相关的文件以及考核兑现情况。</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（2）建立完善慢性病防控服务体系的运行、质控、绩效评价机制，3分。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w:t>
            </w:r>
            <w:r>
              <w:rPr>
                <w:rFonts w:hint="default" w:ascii="Times New Roman" w:hAnsi="Times New Roman" w:eastAsia="方正仿宋_GBK" w:cs="Times New Roman"/>
                <w:color w:val="auto"/>
                <w:kern w:val="0"/>
                <w:sz w:val="18"/>
                <w:szCs w:val="18"/>
              </w:rPr>
              <w:t>疾控机构、医院对基层医疗卫生机构进行的技术指导和对口支援，建立有效的合作关系，2分；其余0分。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7"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（二）加强慢性病防控队伍建设。（15分）</w:t>
            </w:r>
          </w:p>
        </w:tc>
        <w:tc>
          <w:tcPr>
            <w:tcW w:w="1663"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1.加强疾病预防控制机构慢性病防控专业技术人员能力建设。</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疾病预防控制机构每年组织本单位慢性病防控专业技术人员参加专业培训不少于2次，5分；1次，2分；未接受培训不得分。</w:t>
            </w:r>
          </w:p>
        </w:tc>
        <w:tc>
          <w:tcPr>
            <w:tcW w:w="572"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5</w:t>
            </w:r>
          </w:p>
        </w:tc>
        <w:tc>
          <w:tcPr>
            <w:tcW w:w="1470" w:type="dxa"/>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2.提升二级以上医院公共卫生专业人员能力。</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（1）二级及以上医院每年组织本单位承担疾病预防控制工作的专业技术人员接受专业培训不少于2次，2分；1次，1分；未接受培训不得分。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4</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（2）二级及以上医院每年组织对辖区基层医疗机构的慢病专业培训不少于2次，2分；1次，1分；未接受培训不得分。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3.加强基层医疗卫生机构公共卫生服务能力建设，承担所在区域慢性病防控工作。</w:t>
            </w:r>
            <w:r>
              <w:rPr>
                <w:rFonts w:hint="default" w:ascii="Times New Roman" w:hAnsi="Times New Roman" w:eastAsia="方正仿宋_GBK" w:cs="Times New Roman"/>
                <w:color w:val="auto"/>
                <w:sz w:val="18"/>
                <w:szCs w:val="18"/>
              </w:rPr>
              <w:t>。</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（1）基层医疗卫生机构每年接受上级疾控机构慢性病防控专业技术培训不少于2次，2分；1次，1分；未接受培训不得分。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6</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各社区卫生服务中心、各乡镇卫生院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（2）基层医疗卫生机构每年接受上级医疗机构慢性病防治专业技术培训不少于2次，2分；1次，1分；未接受培训不得分。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6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（3）基层医疗卫生机构每年组织对村卫生室或社区卫生服务站医护人员的培训不少于2次，2分；1次，1分；未接受培训不得分。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restart"/>
            <w:noWrap w:val="0"/>
            <w:tcMar>
              <w:top w:w="15" w:type="dxa"/>
              <w:left w:w="15" w:type="dxa"/>
              <w:bottom w:w="15" w:type="dxa"/>
              <w:right w:w="15" w:type="dxa"/>
            </w:tcMar>
            <w:vAlign w:val="center"/>
          </w:tcPr>
          <w:p>
            <w:pPr>
              <w:spacing w:line="28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val="en-US" w:eastAsia="zh-CN"/>
              </w:rPr>
              <w:t>五</w:t>
            </w:r>
            <w:r>
              <w:rPr>
                <w:rFonts w:hint="default" w:ascii="Times New Roman" w:hAnsi="Times New Roman" w:eastAsia="方正仿宋_GBK" w:cs="Times New Roman"/>
                <w:color w:val="auto"/>
                <w:sz w:val="18"/>
                <w:szCs w:val="18"/>
              </w:rPr>
              <w:t>、</w:t>
            </w:r>
          </w:p>
          <w:p>
            <w:pPr>
              <w:spacing w:line="28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健康教育与健康促进（</w:t>
            </w:r>
            <w:r>
              <w:rPr>
                <w:rFonts w:hint="default" w:ascii="Times New Roman" w:hAnsi="Times New Roman" w:eastAsia="方正仿宋_GBK" w:cs="Times New Roman"/>
                <w:color w:val="auto"/>
                <w:sz w:val="18"/>
                <w:szCs w:val="18"/>
                <w:lang w:val="en-US" w:eastAsia="zh-CN"/>
              </w:rPr>
              <w:t>20</w:t>
            </w:r>
            <w:r>
              <w:rPr>
                <w:rFonts w:hint="default" w:ascii="Times New Roman" w:hAnsi="Times New Roman" w:eastAsia="方正仿宋_GBK" w:cs="Times New Roman"/>
                <w:color w:val="auto"/>
                <w:sz w:val="18"/>
                <w:szCs w:val="18"/>
              </w:rPr>
              <w:t>分）</w:t>
            </w:r>
          </w:p>
        </w:tc>
        <w:tc>
          <w:tcPr>
            <w:tcW w:w="1050" w:type="dxa"/>
            <w:vMerge w:val="restart"/>
            <w:noWrap w:val="0"/>
            <w:tcMar>
              <w:top w:w="15" w:type="dxa"/>
              <w:left w:w="15" w:type="dxa"/>
              <w:bottom w:w="15" w:type="dxa"/>
              <w:right w:w="15" w:type="dxa"/>
            </w:tcMar>
            <w:vAlign w:val="top"/>
          </w:tcPr>
          <w:p>
            <w:pPr>
              <w:spacing w:line="28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（一）通过多种渠道积极开展慢性病防治全民健康教育。（</w:t>
            </w:r>
            <w:r>
              <w:rPr>
                <w:rFonts w:hint="default" w:ascii="Times New Roman" w:hAnsi="Times New Roman" w:eastAsia="方正仿宋_GBK" w:cs="Times New Roman"/>
                <w:color w:val="auto"/>
                <w:sz w:val="18"/>
                <w:szCs w:val="18"/>
                <w:lang w:val="en-US" w:eastAsia="zh-CN"/>
              </w:rPr>
              <w:t>6</w:t>
            </w:r>
            <w:r>
              <w:rPr>
                <w:rFonts w:hint="default" w:ascii="Times New Roman" w:hAnsi="Times New Roman" w:eastAsia="方正仿宋_GBK" w:cs="Times New Roman"/>
                <w:color w:val="auto"/>
                <w:sz w:val="18"/>
                <w:szCs w:val="18"/>
              </w:rPr>
              <w:t>分）</w:t>
            </w: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1.广泛开展健康教育，定期传播慢性病防治和健康素养知识和技能。</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kern w:val="0"/>
                <w:sz w:val="18"/>
                <w:szCs w:val="18"/>
                <w:lang w:eastAsia="zh-CN"/>
              </w:rPr>
            </w:pPr>
            <w:r>
              <w:rPr>
                <w:rFonts w:hint="default" w:ascii="Times New Roman" w:hAnsi="Times New Roman" w:eastAsia="方正仿宋_GBK" w:cs="Times New Roman"/>
                <w:color w:val="auto"/>
                <w:kern w:val="0"/>
                <w:sz w:val="18"/>
                <w:szCs w:val="18"/>
              </w:rPr>
              <w:t>（1）当地社会主流媒体和互联网等新媒体广泛开展慢性病防治和健康教育，每月不少于 2 次，0.5 分；其余 0 分。</w:t>
            </w:r>
          </w:p>
          <w:p>
            <w:pPr>
              <w:keepNext/>
              <w:keepLines/>
              <w:widowControl w:val="0"/>
              <w:spacing w:before="340" w:after="330" w:line="578" w:lineRule="atLeast"/>
              <w:jc w:val="both"/>
              <w:outlineLvl w:val="0"/>
              <w:rPr>
                <w:rFonts w:hint="default" w:ascii="Times New Roman" w:hAnsi="Times New Roman" w:eastAsia="宋体" w:cs="Times New Roman"/>
                <w:b/>
                <w:bCs/>
                <w:color w:val="auto"/>
                <w:kern w:val="44"/>
                <w:sz w:val="44"/>
                <w:szCs w:val="44"/>
                <w:lang w:val="en-US" w:eastAsia="zh-CN" w:bidi="ar-SA"/>
              </w:rPr>
            </w:pPr>
          </w:p>
        </w:tc>
        <w:tc>
          <w:tcPr>
            <w:tcW w:w="572" w:type="dxa"/>
            <w:vMerge w:val="restart"/>
            <w:noWrap w:val="0"/>
            <w:tcMar>
              <w:top w:w="15" w:type="dxa"/>
              <w:left w:w="15" w:type="dxa"/>
              <w:bottom w:w="15" w:type="dxa"/>
              <w:right w:w="15" w:type="dxa"/>
            </w:tcMar>
            <w:vAlign w:val="center"/>
          </w:tcPr>
          <w:p>
            <w:pPr>
              <w:spacing w:line="280" w:lineRule="exact"/>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1</w:t>
            </w:r>
          </w:p>
        </w:tc>
        <w:tc>
          <w:tcPr>
            <w:tcW w:w="1470" w:type="dxa"/>
            <w:vMerge w:val="restart"/>
            <w:noWrap w:val="0"/>
            <w:tcMar>
              <w:top w:w="15" w:type="dxa"/>
              <w:left w:w="15" w:type="dxa"/>
              <w:bottom w:w="15" w:type="dxa"/>
              <w:right w:w="15" w:type="dxa"/>
            </w:tcMar>
            <w:vAlign w:val="center"/>
          </w:tcPr>
          <w:p>
            <w:pPr>
              <w:spacing w:line="280" w:lineRule="exact"/>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noWrap w:val="0"/>
            <w:tcMar>
              <w:top w:w="15" w:type="dxa"/>
              <w:left w:w="15" w:type="dxa"/>
              <w:bottom w:w="15" w:type="dxa"/>
              <w:right w:w="15" w:type="dxa"/>
            </w:tcMar>
            <w:vAlign w:val="center"/>
          </w:tcPr>
          <w:p>
            <w:pPr>
              <w:spacing w:line="28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市委宣传部</w:t>
            </w:r>
          </w:p>
        </w:tc>
        <w:tc>
          <w:tcPr>
            <w:tcW w:w="1155" w:type="dxa"/>
            <w:noWrap w:val="0"/>
            <w:tcMar>
              <w:top w:w="15" w:type="dxa"/>
              <w:left w:w="15" w:type="dxa"/>
              <w:bottom w:w="15" w:type="dxa"/>
              <w:right w:w="15" w:type="dxa"/>
            </w:tcMar>
            <w:vAlign w:val="center"/>
          </w:tcPr>
          <w:p>
            <w:pPr>
              <w:spacing w:line="28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tcMar>
              <w:top w:w="15" w:type="dxa"/>
              <w:left w:w="15" w:type="dxa"/>
              <w:bottom w:w="15" w:type="dxa"/>
              <w:right w:w="15" w:type="dxa"/>
            </w:tcMar>
            <w:vAlign w:val="center"/>
          </w:tcPr>
          <w:p>
            <w:pPr>
              <w:spacing w:line="280" w:lineRule="exact"/>
              <w:jc w:val="center"/>
              <w:rPr>
                <w:rFonts w:hint="default" w:ascii="Times New Roman" w:hAnsi="Times New Roman" w:eastAsia="方正仿宋_GBK" w:cs="Times New Roman"/>
                <w:color w:val="auto"/>
                <w:sz w:val="18"/>
                <w:szCs w:val="18"/>
              </w:rPr>
            </w:pPr>
          </w:p>
        </w:tc>
        <w:tc>
          <w:tcPr>
            <w:tcW w:w="1050" w:type="dxa"/>
            <w:vMerge w:val="continue"/>
            <w:noWrap w:val="0"/>
            <w:tcMar>
              <w:top w:w="15" w:type="dxa"/>
              <w:left w:w="15" w:type="dxa"/>
              <w:bottom w:w="15" w:type="dxa"/>
              <w:right w:w="15" w:type="dxa"/>
            </w:tcMar>
            <w:vAlign w:val="top"/>
          </w:tcPr>
          <w:p>
            <w:pPr>
              <w:spacing w:line="280" w:lineRule="exact"/>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（2）建立医疗机构和医务人员开展健康教育和健康促进的绩效考核机制，0.5分；其余0分。</w:t>
            </w:r>
          </w:p>
        </w:tc>
        <w:tc>
          <w:tcPr>
            <w:tcW w:w="572" w:type="dxa"/>
            <w:vMerge w:val="continue"/>
            <w:noWrap w:val="0"/>
            <w:tcMar>
              <w:top w:w="15" w:type="dxa"/>
              <w:left w:w="15" w:type="dxa"/>
              <w:bottom w:w="15" w:type="dxa"/>
              <w:right w:w="15" w:type="dxa"/>
            </w:tcMar>
            <w:vAlign w:val="center"/>
          </w:tcPr>
          <w:p>
            <w:pPr>
              <w:spacing w:line="280" w:lineRule="exact"/>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spacing w:line="280" w:lineRule="exact"/>
              <w:jc w:val="left"/>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spacing w:line="280" w:lineRule="exact"/>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市卫生健康局</w:t>
            </w:r>
          </w:p>
        </w:tc>
        <w:tc>
          <w:tcPr>
            <w:tcW w:w="1155" w:type="dxa"/>
            <w:noWrap w:val="0"/>
            <w:tcMar>
              <w:top w:w="15" w:type="dxa"/>
              <w:left w:w="15" w:type="dxa"/>
              <w:bottom w:w="15" w:type="dxa"/>
              <w:right w:w="15" w:type="dxa"/>
            </w:tcMar>
            <w:vAlign w:val="center"/>
          </w:tcPr>
          <w:p>
            <w:pPr>
              <w:spacing w:line="28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2.开展形式多样的健康教育与健康促进活动，扩大传播慢性病防治和慢病健康素养知识和技能的范围。</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辖区每年至少开展6次围绕全国肿瘤防治宣传周、世界无烟日、全国高血压日、世界卒中日、联合国糖尿病日、世界慢阻肺日等慢性病防治主题宣传日的形式多样的健康教育与健康促进宣传活动，每次0.5分，共3分；其余0分。</w:t>
            </w:r>
          </w:p>
        </w:tc>
        <w:tc>
          <w:tcPr>
            <w:tcW w:w="572"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3</w:t>
            </w:r>
          </w:p>
        </w:tc>
        <w:tc>
          <w:tcPr>
            <w:tcW w:w="1470" w:type="dxa"/>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3.开展幼儿园、中小学校健康行为方式教育。</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（1）幼儿园、中小学校开设健康教育课覆盖率达100%，0.5分；其余0分。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查阅资料、现场评估。查阅教育计划；查阅即课程表、教材与教参，抽取1个点现场观察实际执行情况。</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市教育体育局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spacing w:line="240" w:lineRule="exact"/>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（2）健康教育课包括营养均衡、口腔保健、健康体重、视力保护、心理健康、伤害预防（溺水、烧烫伤）等内容，每学期以班级为单位，课程≥6学时，0.5分；低于6学时0分。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（3）寄宿制中小学校或600名学生以上的非寄宿制中小学校配备专职卫生专业技术人员、600名学生以下的非寄宿制中小学校配备专兼职保健教师或卫生专业技术人员的比例达到70%，0.5分；其余0分。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（4）配备专兼职心理健康工作人员的中小学校比例达到80%，0.5分；其余0分。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spacing w:line="220" w:lineRule="exact"/>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（二）提高居民重点慢性病核心知识知晓率和居民健康素养水平。</w:t>
            </w:r>
          </w:p>
          <w:p>
            <w:pPr>
              <w:spacing w:line="22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（9分）</w:t>
            </w:r>
          </w:p>
        </w:tc>
        <w:tc>
          <w:tcPr>
            <w:tcW w:w="1663"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1.提高居民重点慢性病核心知识知晓率。</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居民重点慢性病核心知识知晓率≥70%，5分；60-70%，2分；60%以下0分。</w:t>
            </w:r>
          </w:p>
        </w:tc>
        <w:tc>
          <w:tcPr>
            <w:tcW w:w="572"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5</w:t>
            </w:r>
          </w:p>
        </w:tc>
        <w:tc>
          <w:tcPr>
            <w:tcW w:w="1470" w:type="dxa"/>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参照省级方案开展，查阅社会因素调查报告。</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各社区卫生服务中心、各乡镇卫生院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2.提高居民健康素养水平。</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居民健康素养水平≥25%，4 分；20-25%，2 分；20%以下不得分</w:t>
            </w:r>
            <w:r>
              <w:rPr>
                <w:rFonts w:hint="default" w:ascii="Times New Roman" w:hAnsi="Times New Roman" w:eastAsia="方正仿宋_GBK" w:cs="Times New Roman"/>
                <w:color w:val="auto"/>
                <w:sz w:val="18"/>
                <w:szCs w:val="18"/>
              </w:rPr>
              <w:t>。</w:t>
            </w:r>
          </w:p>
        </w:tc>
        <w:tc>
          <w:tcPr>
            <w:tcW w:w="572"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4</w:t>
            </w:r>
          </w:p>
        </w:tc>
        <w:tc>
          <w:tcPr>
            <w:tcW w:w="1470" w:type="dxa"/>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参照省级方案开展。查阅资料。</w:t>
            </w: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（三）发挥社会团体和群众组织在慢性病防控中的积极作用。（</w:t>
            </w:r>
            <w:r>
              <w:rPr>
                <w:rFonts w:hint="default" w:ascii="Times New Roman" w:hAnsi="Times New Roman" w:eastAsia="方正仿宋_GBK" w:cs="Times New Roman"/>
                <w:color w:val="auto"/>
                <w:sz w:val="18"/>
                <w:szCs w:val="18"/>
                <w:lang w:val="en-US" w:eastAsia="zh-CN"/>
              </w:rPr>
              <w:t>5</w:t>
            </w:r>
            <w:r>
              <w:rPr>
                <w:rFonts w:hint="default" w:ascii="Times New Roman" w:hAnsi="Times New Roman" w:eastAsia="方正仿宋_GBK" w:cs="Times New Roman"/>
                <w:color w:val="auto"/>
                <w:sz w:val="18"/>
                <w:szCs w:val="18"/>
              </w:rPr>
              <w:t>分）</w:t>
            </w: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1.辖区开展群众性健身运动。</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（1）有5个及以上的群众健身团体，0.5分；其余0分。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1</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健康指导员培养可和体育指导员培训一并进行。查阅资料。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市教育体育局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勐卯街道办事处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kern w:val="0"/>
                <w:sz w:val="18"/>
                <w:szCs w:val="18"/>
              </w:rPr>
              <w:t>（2）配有体育指导员和志愿者，0.5分；其余0分。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2.每年至少开展1次由社会团体组织和参与的集体性健身活动。</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定期开展由社会团体组织、企事业单位承担参与并积极支持的健身活动，每年≥1次，1分；其余0分。</w:t>
            </w:r>
          </w:p>
        </w:tc>
        <w:tc>
          <w:tcPr>
            <w:tcW w:w="572"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1</w:t>
            </w:r>
          </w:p>
        </w:tc>
        <w:tc>
          <w:tcPr>
            <w:tcW w:w="1470" w:type="dxa"/>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市教育体育局</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3.鼓励社区慢性病患者参与社区自我健康管理活动。</w:t>
            </w: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有自我健康管理小组并规范开展的社区覆盖率≥50%，3分；40-50%，2分；40%以下0分。不符合技术规范要求或每年参加人数不变者分数减半。</w:t>
            </w:r>
          </w:p>
        </w:tc>
        <w:tc>
          <w:tcPr>
            <w:tcW w:w="572"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3</w:t>
            </w:r>
          </w:p>
        </w:tc>
        <w:tc>
          <w:tcPr>
            <w:tcW w:w="1470" w:type="dxa"/>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查阅资料。社区指村/居委会</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noWrap w:val="0"/>
            <w:tcMar>
              <w:top w:w="15" w:type="dxa"/>
              <w:left w:w="15" w:type="dxa"/>
              <w:bottom w:w="15" w:type="dxa"/>
              <w:right w:w="15" w:type="dxa"/>
            </w:tcMar>
            <w:vAlign w:val="center"/>
          </w:tcPr>
          <w:p>
            <w:pPr>
              <w:spacing w:line="22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勐卯街道</w:t>
            </w:r>
            <w:r>
              <w:rPr>
                <w:rFonts w:hint="default" w:ascii="Times New Roman" w:hAnsi="Times New Roman" w:eastAsia="方正仿宋_GBK" w:cs="Times New Roman"/>
                <w:color w:val="auto"/>
                <w:sz w:val="18"/>
                <w:szCs w:val="18"/>
                <w:lang w:val="en-US" w:eastAsia="zh-CN"/>
              </w:rPr>
              <w:t>办事处</w:t>
            </w:r>
            <w:r>
              <w:rPr>
                <w:rFonts w:hint="default" w:ascii="Times New Roman" w:hAnsi="Times New Roman" w:eastAsia="方正仿宋_GBK" w:cs="Times New Roman"/>
                <w:color w:val="auto"/>
                <w:sz w:val="18"/>
                <w:szCs w:val="18"/>
              </w:rPr>
              <w:t>、社区卫生服务中心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840"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val="en-US" w:eastAsia="zh-CN"/>
              </w:rPr>
              <w:t>六</w:t>
            </w:r>
            <w:r>
              <w:rPr>
                <w:rFonts w:hint="default" w:ascii="Times New Roman" w:hAnsi="Times New Roman" w:eastAsia="方正仿宋_GBK" w:cs="Times New Roman"/>
                <w:color w:val="auto"/>
                <w:sz w:val="18"/>
                <w:szCs w:val="18"/>
              </w:rPr>
              <w:t>、</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慢性病全程管理</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w:t>
            </w:r>
            <w:r>
              <w:rPr>
                <w:rFonts w:hint="default" w:ascii="Times New Roman" w:hAnsi="Times New Roman" w:eastAsia="方正仿宋_GBK" w:cs="Times New Roman"/>
                <w:color w:val="auto"/>
                <w:sz w:val="18"/>
                <w:szCs w:val="18"/>
                <w:lang w:val="en-US" w:eastAsia="zh-CN"/>
              </w:rPr>
              <w:t>70</w:t>
            </w:r>
            <w:r>
              <w:rPr>
                <w:rFonts w:hint="default" w:ascii="Times New Roman" w:hAnsi="Times New Roman" w:eastAsia="方正仿宋_GBK" w:cs="Times New Roman"/>
                <w:color w:val="auto"/>
                <w:sz w:val="18"/>
                <w:szCs w:val="18"/>
              </w:rPr>
              <w:t>分）</w:t>
            </w: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（一）规范健康体检，开展高危人群筛查与干预，加强癌症、心脑血管疾病等重大慢性病的早期发现与管理。（</w:t>
            </w:r>
            <w:r>
              <w:rPr>
                <w:rFonts w:hint="default" w:ascii="Times New Roman" w:hAnsi="Times New Roman" w:eastAsia="方正仿宋_GBK" w:cs="Times New Roman"/>
                <w:color w:val="auto"/>
                <w:sz w:val="18"/>
                <w:szCs w:val="18"/>
                <w:lang w:val="en-US" w:eastAsia="zh-CN"/>
              </w:rPr>
              <w:t>17</w:t>
            </w:r>
            <w:r>
              <w:rPr>
                <w:rFonts w:hint="default" w:ascii="Times New Roman" w:hAnsi="Times New Roman" w:eastAsia="方正仿宋_GBK" w:cs="Times New Roman"/>
                <w:color w:val="auto"/>
                <w:sz w:val="18"/>
                <w:szCs w:val="18"/>
              </w:rPr>
              <w:t>分）</w:t>
            </w: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1.开展学生、老年人等重点人群和职工定期健康体检和健康指导。</w:t>
            </w:r>
          </w:p>
        </w:tc>
        <w:tc>
          <w:tcPr>
            <w:tcW w:w="2700" w:type="dxa"/>
            <w:noWrap w:val="0"/>
            <w:tcMar>
              <w:top w:w="15" w:type="dxa"/>
              <w:left w:w="15" w:type="dxa"/>
              <w:bottom w:w="15" w:type="dxa"/>
              <w:right w:w="15" w:type="dxa"/>
            </w:tcMar>
            <w:vAlign w:val="center"/>
          </w:tcPr>
          <w:p>
            <w:pPr>
              <w:spacing w:line="22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(1)学生健康体检率≥90%，2分；80-90%，1分；80%以下不得分。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7</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查阅教育部门统计数据和基本公共卫生服务项目统计数据等。</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市教育体育局</w:t>
            </w:r>
          </w:p>
        </w:tc>
        <w:tc>
          <w:tcPr>
            <w:tcW w:w="1155" w:type="dxa"/>
            <w:noWrap w:val="0"/>
            <w:tcMar>
              <w:top w:w="15" w:type="dxa"/>
              <w:left w:w="15" w:type="dxa"/>
              <w:bottom w:w="15" w:type="dxa"/>
              <w:right w:w="15" w:type="dxa"/>
            </w:tcMar>
            <w:vAlign w:val="center"/>
          </w:tcPr>
          <w:p>
            <w:pPr>
              <w:spacing w:line="22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spacing w:line="22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(2)65岁及以上老年人健康体检率≥90%，2分；80-90%，1分；80%以下不得分。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noWrap w:val="0"/>
            <w:tcMar>
              <w:top w:w="15" w:type="dxa"/>
              <w:left w:w="15" w:type="dxa"/>
              <w:bottom w:w="15" w:type="dxa"/>
              <w:right w:w="15" w:type="dxa"/>
            </w:tcMar>
            <w:vAlign w:val="center"/>
          </w:tcPr>
          <w:p>
            <w:pPr>
              <w:spacing w:line="22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各社区卫生服务中心、各乡镇卫生院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spacing w:line="22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（3）每2年1次体检并开展健康指导的机关事业单位和员工数超过50人的企业的覆盖率≥50%，3分；40-50%，2分；40%以下0分。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市总工会</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2.应用推广成熟的适宜技术，早期发现诊治患者，及时纳入基本公共卫生服务管理。</w:t>
            </w:r>
          </w:p>
        </w:tc>
        <w:tc>
          <w:tcPr>
            <w:tcW w:w="2700" w:type="dxa"/>
            <w:noWrap w:val="0"/>
            <w:tcMar>
              <w:top w:w="15" w:type="dxa"/>
              <w:left w:w="15" w:type="dxa"/>
              <w:bottom w:w="15" w:type="dxa"/>
              <w:right w:w="15" w:type="dxa"/>
            </w:tcMar>
            <w:vAlign w:val="center"/>
          </w:tcPr>
          <w:p>
            <w:pPr>
              <w:spacing w:line="20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（1）医疗机构首诊测血压率达到100%，2分；其余0分。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10</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查阅资料，现场评估，抽样调查医疗机构资料、信息系统。</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（2）开展心脑血管疾病、重点癌症、糖尿病、慢性阻塞性肺病等重大慢性病的筛查和早期诊断，每1项1分，满分4分。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（3）具备血糖、血脂、简易肺功能测定和大便隐血检测等4种技术并提供服务的社区卫生服务中心和乡镇卫生院的覆盖率≥70%，2分；50-70%，1分；50%以下0分。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（4）提高加强个人健康档案与健康体检信息的利用，发现高危人群登记率100%，1分，其余0分；高危人群纳入健康管理率≥30%，1分，其余0分。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（二）建立分级诊疗制度，推进家庭医生签约服务，开展高血压、糖尿病等重点慢性病规范化管理。（20分）</w:t>
            </w: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1.开展基层首诊、双向转诊、急慢分治、上下联动的慢性病分级诊疗服务。</w:t>
            </w: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（1）建立分级诊疗制度，</w:t>
            </w:r>
            <w:r>
              <w:rPr>
                <w:rFonts w:hint="default" w:ascii="Times New Roman" w:hAnsi="Times New Roman" w:eastAsia="方正仿宋_GBK" w:cs="Times New Roman"/>
                <w:color w:val="auto"/>
                <w:sz w:val="18"/>
                <w:szCs w:val="18"/>
                <w:lang w:val="en-US" w:eastAsia="zh-CN"/>
              </w:rPr>
              <w:t>1</w:t>
            </w:r>
            <w:r>
              <w:rPr>
                <w:rFonts w:hint="default" w:ascii="Times New Roman" w:hAnsi="Times New Roman" w:eastAsia="方正仿宋_GBK" w:cs="Times New Roman"/>
                <w:color w:val="auto"/>
                <w:sz w:val="18"/>
                <w:szCs w:val="18"/>
              </w:rPr>
              <w:t>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5</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（2）落实并开展高血压与糖尿病基层首诊、双向转诊、急慢分治、上下联动的分级诊疗服务，基层医疗机构门诊量占比≥50%，2分；其余0分</w:t>
            </w:r>
            <w:r>
              <w:rPr>
                <w:rFonts w:hint="default" w:ascii="Times New Roman" w:hAnsi="Times New Roman" w:eastAsia="方正仿宋_GBK" w:cs="Times New Roman"/>
                <w:color w:val="auto"/>
                <w:sz w:val="18"/>
                <w:szCs w:val="18"/>
              </w:rPr>
              <w:t>。</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（3）依托信息平台实现分级诊疗，2分。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2.推进家庭医生签约服务，签约团队负责提供约定的基本医疗、公共卫生和健康管理服务。</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家庭医生签约服务覆盖率高于本省平均水平30%及以上，3分；25-30%，1分；25%以下0分。</w:t>
            </w:r>
          </w:p>
        </w:tc>
        <w:tc>
          <w:tcPr>
            <w:tcW w:w="572" w:type="dxa"/>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3</w:t>
            </w:r>
          </w:p>
        </w:tc>
        <w:tc>
          <w:tcPr>
            <w:tcW w:w="1470" w:type="dxa"/>
            <w:noWrap w:val="0"/>
            <w:tcMar>
              <w:top w:w="15" w:type="dxa"/>
              <w:left w:w="15" w:type="dxa"/>
              <w:bottom w:w="15" w:type="dxa"/>
              <w:right w:w="15" w:type="dxa"/>
            </w:tcMar>
            <w:vAlign w:val="center"/>
          </w:tcPr>
          <w:p>
            <w:pPr>
              <w:spacing w:line="240" w:lineRule="exact"/>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查阅省级统计数据</w:t>
            </w:r>
            <w:r>
              <w:rPr>
                <w:rFonts w:hint="default" w:ascii="Times New Roman" w:hAnsi="Times New Roman" w:eastAsia="方正仿宋_GBK" w:cs="Times New Roman"/>
                <w:color w:val="auto"/>
                <w:sz w:val="18"/>
                <w:szCs w:val="18"/>
              </w:rPr>
              <w:t>。</w:t>
            </w:r>
          </w:p>
        </w:tc>
        <w:tc>
          <w:tcPr>
            <w:tcW w:w="1155" w:type="dxa"/>
            <w:noWrap w:val="0"/>
            <w:tcMar>
              <w:top w:w="15" w:type="dxa"/>
              <w:left w:w="15" w:type="dxa"/>
              <w:bottom w:w="15" w:type="dxa"/>
              <w:right w:w="15" w:type="dxa"/>
            </w:tcMar>
            <w:vAlign w:val="center"/>
          </w:tcPr>
          <w:p>
            <w:pPr>
              <w:spacing w:line="24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各社区卫生服务中心、各乡镇卫生院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3.提高人群高血压、糖尿病知晓率。</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（1）30岁以上高血压知晓率≥60%，2分；55-60%，1分；55%以下0分。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4</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查阅监测报告数据。此处高血压/糖尿病知晓率指高血压/糖尿病患者中知晓自己是高血压/糖尿病患者的人所占比例。</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各社区卫生服务中心、各乡镇卫生院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（2）18岁以上糖尿病知晓率≥55%，2分；50-55％，1分；50%以下0分。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4.提高高血压、糖尿病患者规范管理率。</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（1）35岁以上高血压患者规范管理率达到70%，2分；60%-70%，1分；60%以下不得分。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4</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查阅国家基本公共卫生服务项目数据。此处管理率指任务完成率。</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各社区卫生服务中心、各乡镇卫生院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（2）35岁以上糖尿病患者规范管理率达到70%，2分；60%-70%，1分；60%以下不得分。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5.提高管理人群高血压、糖尿病患者的控制率。</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（1）高血压患者血压控制率高于全省平均水平5%及以上，2分；3-5%，1分；3%以下0分。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4</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查阅国家基本公共卫生服务项目数据。</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各社区卫生服务中心、各乡镇卫生院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（2）糖尿病患者血糖控制率高于全省平均水平5%及以上，2分；3-5%，1分；3%以下0分。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top"/>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w:t>
            </w:r>
            <w:r>
              <w:rPr>
                <w:rFonts w:hint="default" w:ascii="Times New Roman" w:hAnsi="Times New Roman" w:eastAsia="方正仿宋_GBK" w:cs="Times New Roman"/>
                <w:color w:val="auto"/>
                <w:sz w:val="18"/>
                <w:szCs w:val="18"/>
                <w:lang w:val="en-US" w:eastAsia="zh-CN"/>
              </w:rPr>
              <w:t>三</w:t>
            </w:r>
            <w:r>
              <w:rPr>
                <w:rFonts w:hint="default" w:ascii="Times New Roman" w:hAnsi="Times New Roman" w:eastAsia="方正仿宋_GBK" w:cs="Times New Roman"/>
                <w:color w:val="auto"/>
                <w:sz w:val="18"/>
                <w:szCs w:val="18"/>
              </w:rPr>
              <w:t>）完善区域信息平台，实现医疗卫生机构间互联互通、信息共享。（15分）</w:t>
            </w: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1.建立区域卫生信息平台，实现公共卫生服务、诊疗信息互联互通。</w:t>
            </w: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（1）建立区域卫生信息平台，4分。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10</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查阅资料，现场评估。</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（2）专业公共卫生机构、二级及以上医院和基层医疗卫生机构之间实现互联互通和信息共享，3分。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（3）实现电子健康档案和电子病历的连续记录和信息共享，3分。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2.应用互联网+、健康大数据提供便捷、高效的健康管理服务。</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（1）应用互联网+技术为签约服务的患者提供健康管理和诊疗服务，3分；其余0分。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5</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查阅资料，现场评估。</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各社区卫生服务中心、各乡镇卫生院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（2）应用健康大数据为签约服务的患者提供健康管理和诊疗服务，2分；其余0分。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（四）中西医并重，发挥中医药在慢性病预防、保健、诊疗、康复中的作用。（7分）</w:t>
            </w: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1.辖区各社区卫生服务中心、乡镇卫生院有中医综合服务区。</w:t>
            </w: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（1）乡镇卫生院/社区卫生服务中心提供6类以上中医非药物疗法的比例达到100%，2分；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4</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各社区卫生服务中心、各乡镇卫生院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（2）社区卫生服务站/村卫生室提供4类以上中医非药物疗法的比例达到70%，2分；70%以下不得分。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2.开展中医药养生保健知识的宣传及中医适宜技术推广。</w:t>
            </w: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（1）宣传中医药养生保健知识，1分；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3</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查阅资料，现场评估。</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各社区卫生服务中心、各乡镇卫生院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（2）推广使用中医防治慢性病适宜技术，1分；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（3）对65岁以上老年人提供中医药健康管理；1分。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w:t>
            </w:r>
            <w:r>
              <w:rPr>
                <w:rFonts w:hint="default" w:ascii="Times New Roman" w:hAnsi="Times New Roman" w:eastAsia="方正仿宋_GBK" w:cs="Times New Roman"/>
                <w:color w:val="auto"/>
                <w:sz w:val="18"/>
                <w:szCs w:val="18"/>
                <w:lang w:val="en-US" w:eastAsia="zh-CN"/>
              </w:rPr>
              <w:t>五</w:t>
            </w:r>
            <w:r>
              <w:rPr>
                <w:rFonts w:hint="default" w:ascii="Times New Roman" w:hAnsi="Times New Roman" w:eastAsia="方正仿宋_GBK" w:cs="Times New Roman"/>
                <w:color w:val="auto"/>
                <w:sz w:val="18"/>
                <w:szCs w:val="18"/>
              </w:rPr>
              <w:t>）做好基本医疗保险、城乡居民大病保险和医疗救助重大疾病保障的衔接。（</w:t>
            </w:r>
            <w:r>
              <w:rPr>
                <w:rFonts w:hint="default" w:ascii="Times New Roman" w:hAnsi="Times New Roman" w:eastAsia="方正仿宋_GBK" w:cs="Times New Roman"/>
                <w:color w:val="auto"/>
                <w:sz w:val="18"/>
                <w:szCs w:val="18"/>
                <w:lang w:val="en-US" w:eastAsia="zh-CN"/>
              </w:rPr>
              <w:t>4</w:t>
            </w:r>
            <w:r>
              <w:rPr>
                <w:rFonts w:hint="default" w:ascii="Times New Roman" w:hAnsi="Times New Roman" w:eastAsia="方正仿宋_GBK" w:cs="Times New Roman"/>
                <w:color w:val="auto"/>
                <w:sz w:val="18"/>
                <w:szCs w:val="18"/>
              </w:rPr>
              <w:t>分）</w:t>
            </w: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1.做好基本医疗保险、城乡居民大病保险和医疗救助重大疾病保障。</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（1）落实基本医疗保险、大病保险和医疗救助重大疾病保障等相关政策，1分；其余0分。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市医疗保障局</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（2）提高签约慢性病患者的医疗保障水平和残疾人、流动人口、低收入等人群医疗救助水平的具体措施，1分；其余0分。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市残联、市民政局、市红十字会</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2.基层医疗卫生机构优先配备使用基本药物，根据省级医保药品报销目录，配备使用一定数量或比例的药品。</w:t>
            </w: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（1）按基本药物目录配置，1分。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2</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查阅资料，现场评估。</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各社区卫生服务中心、各乡镇卫生院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kern w:val="0"/>
                <w:sz w:val="18"/>
                <w:szCs w:val="18"/>
              </w:rPr>
              <w:t>复审：辖区基层医疗卫生服务机构设立药物绿色通道（包括延伸处方或长处方）1分。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（2）按省级卫生健康行政部门规定和要求配备使用医保报销药物。1分；其余0分。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w:t>
            </w:r>
            <w:r>
              <w:rPr>
                <w:rFonts w:hint="default" w:ascii="Times New Roman" w:hAnsi="Times New Roman" w:eastAsia="方正仿宋_GBK" w:cs="Times New Roman"/>
                <w:color w:val="auto"/>
                <w:sz w:val="18"/>
                <w:szCs w:val="18"/>
                <w:lang w:val="en-US" w:eastAsia="zh-CN"/>
              </w:rPr>
              <w:t>六</w:t>
            </w:r>
            <w:r>
              <w:rPr>
                <w:rFonts w:hint="default" w:ascii="Times New Roman" w:hAnsi="Times New Roman" w:eastAsia="方正仿宋_GBK" w:cs="Times New Roman"/>
                <w:color w:val="auto"/>
                <w:sz w:val="18"/>
                <w:szCs w:val="18"/>
              </w:rPr>
              <w:t>）动员社会力量参与慢性病防控工作，促进医养结合。</w:t>
            </w:r>
          </w:p>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（7分）</w:t>
            </w: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1.政府引导、市场驱动、社会力量参与，为慢性病患者提供健康管理服务。</w:t>
            </w: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（1）有效引进社会资本参与慢性病防控，1分。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4</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（2）商业健康保险参与医疗救助，1分。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市人社局、市总工会</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（3）通过向社会力量购买服务的方式，为慢性病患者提供健康管理服务，2分。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市财政局、市卫生健康局</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9"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2.促进慢性病全程防治管理服务与社区居家养老和机构养老服务融合。</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highlight w:val="none"/>
              </w:rPr>
              <w:t>（1）辖区内每个街道（乡镇除外）均设有为居家养老的半失能老年人提供日间托养服务的社区老年人日间照料中心，1分；其余0分。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勐卯街道办事处</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widowControl/>
              <w:textAlignment w:val="top"/>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（2）以不同形式为入住老年人提供医疗卫生服务的养老机构比例达到100%，1分；其余0分。</w:t>
            </w:r>
          </w:p>
          <w:p>
            <w:pPr>
              <w:rPr>
                <w:rFonts w:hint="default" w:ascii="Times New Roman" w:hAnsi="Times New Roman" w:eastAsia="方正仿宋_GBK" w:cs="Times New Roman"/>
                <w:color w:val="auto"/>
                <w:sz w:val="18"/>
                <w:szCs w:val="18"/>
              </w:rPr>
            </w:pP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市卫生健康局、市民政局</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勐卯街道办事处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（3）设置老年医学科的二级及以上综合性医院比例达到70%，得1分；50%-70%，得0.5分；50%以下0分。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840"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val="en-US" w:eastAsia="zh-CN"/>
              </w:rPr>
              <w:t>七</w:t>
            </w:r>
            <w:r>
              <w:rPr>
                <w:rFonts w:hint="default" w:ascii="Times New Roman" w:hAnsi="Times New Roman" w:eastAsia="方正仿宋_GBK" w:cs="Times New Roman"/>
                <w:color w:val="auto"/>
                <w:sz w:val="18"/>
                <w:szCs w:val="18"/>
              </w:rPr>
              <w:t>、</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监测</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评估</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（30分）</w:t>
            </w: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（一）开展过程质量控制和重点慢性病监测工作。（</w:t>
            </w:r>
            <w:r>
              <w:rPr>
                <w:rFonts w:hint="default" w:ascii="Times New Roman" w:hAnsi="Times New Roman" w:eastAsia="方正仿宋_GBK" w:cs="Times New Roman"/>
                <w:color w:val="auto"/>
                <w:sz w:val="18"/>
                <w:szCs w:val="18"/>
                <w:lang w:val="en-US" w:eastAsia="zh-CN"/>
              </w:rPr>
              <w:t>20</w:t>
            </w:r>
            <w:r>
              <w:rPr>
                <w:rFonts w:hint="default" w:ascii="Times New Roman" w:hAnsi="Times New Roman" w:eastAsia="方正仿宋_GBK" w:cs="Times New Roman"/>
                <w:color w:val="auto"/>
                <w:sz w:val="18"/>
                <w:szCs w:val="18"/>
              </w:rPr>
              <w:t>分）</w:t>
            </w: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1.规范开展覆盖辖区慢性病及相关危险因素监测，掌握辖区重点慢性病状况、影响因素和疾病负担。</w:t>
            </w: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全人群的死因监测、慢病与营养监测、心脑血管疾病、肿瘤、慢阻肺等重大慢性病登记报告达到基本技术指标，完成报告。</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10</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（1）死因监测，2分；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widowControl/>
              <w:numPr>
                <w:ilvl w:val="0"/>
                <w:numId w:val="0"/>
              </w:numP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w:t>
            </w:r>
            <w:r>
              <w:rPr>
                <w:rFonts w:hint="default" w:ascii="Times New Roman" w:hAnsi="Times New Roman" w:eastAsia="方正仿宋_GBK" w:cs="Times New Roman"/>
                <w:color w:val="auto"/>
                <w:kern w:val="0"/>
                <w:sz w:val="18"/>
                <w:szCs w:val="18"/>
              </w:rPr>
              <w:t>慢性病与营养监测，6分。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w:t>
            </w:r>
            <w:r>
              <w:rPr>
                <w:rFonts w:hint="default" w:ascii="Times New Roman" w:hAnsi="Times New Roman" w:eastAsia="方正仿宋_GBK" w:cs="Times New Roman"/>
                <w:color w:val="auto"/>
                <w:sz w:val="18"/>
                <w:szCs w:val="18"/>
                <w:lang w:val="en-US" w:eastAsia="zh-CN"/>
              </w:rPr>
              <w:t>3</w:t>
            </w:r>
            <w:r>
              <w:rPr>
                <w:rFonts w:hint="default" w:ascii="Times New Roman" w:hAnsi="Times New Roman" w:eastAsia="方正仿宋_GBK" w:cs="Times New Roman"/>
                <w:color w:val="auto"/>
                <w:sz w:val="18"/>
                <w:szCs w:val="18"/>
              </w:rPr>
              <w:t>）肿瘤随访登记，2分；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2.慢性病监测数据互联互通。</w:t>
            </w: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（1）利用省、地市、县三级人口健康信息和疾病预防控制信息管理系统，实现重点慢性病监测数据互联互通，5分；其余0分。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10</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现场评估。</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spacing w:line="240" w:lineRule="exac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（2）慢性病监测数据管理利用得到省级及以上卫生行政部门认可推广，5分；其余0分。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（二）开展慢性病防控社会因素调查。（10分</w:t>
            </w:r>
            <w:r>
              <w:rPr>
                <w:rFonts w:hint="default" w:ascii="Times New Roman" w:hAnsi="Times New Roman" w:eastAsia="方正仿宋_GBK" w:cs="Times New Roman"/>
                <w:color w:val="auto"/>
                <w:sz w:val="18"/>
                <w:szCs w:val="18"/>
              </w:rPr>
              <w:t>）</w:t>
            </w:r>
          </w:p>
        </w:tc>
        <w:tc>
          <w:tcPr>
            <w:tcW w:w="1663"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 辖区每5年开展一次慢性病防控社会因素调查。</w:t>
            </w: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（1）规范制定慢性病及社会影响因素状况调查方案，2分；其余0分。</w:t>
            </w:r>
          </w:p>
        </w:tc>
        <w:tc>
          <w:tcPr>
            <w:tcW w:w="572"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10</w:t>
            </w:r>
          </w:p>
        </w:tc>
        <w:tc>
          <w:tcPr>
            <w:tcW w:w="1470" w:type="dxa"/>
            <w:vMerge w:val="restart"/>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查阅资料。</w:t>
            </w:r>
          </w:p>
        </w:tc>
        <w:tc>
          <w:tcPr>
            <w:tcW w:w="1155" w:type="dxa"/>
            <w:vMerge w:val="restart"/>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c>
          <w:tcPr>
            <w:tcW w:w="1155" w:type="dxa"/>
            <w:vMerge w:val="restart"/>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（2）综合运用社会学、流行病学及管理学理论与方法开展慢性病及社会影响因素状况调查，完成调查技术报告，2分；其余0分。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（3）技术报告信息来源权威、准确、多元、综合，报告结构完整，有背景、方法、现状与主要问题、资源分析、预期目标、主要对策与具体措施等内容，2分；其余0分。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（4）技术报告调查结果清晰、调查依据正确、对策合乎逻辑、目标设定科学、措施设计得当，2分；其余0分。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c>
          <w:tcPr>
            <w:tcW w:w="2700" w:type="dxa"/>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（5）技术报告结果用于指引、评估示范区建设及慢性病综合防控工作计划的制定，2分；其余0分。</w:t>
            </w:r>
          </w:p>
        </w:tc>
        <w:tc>
          <w:tcPr>
            <w:tcW w:w="572"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tcMar>
              <w:top w:w="15" w:type="dxa"/>
              <w:left w:w="15" w:type="dxa"/>
              <w:bottom w:w="15" w:type="dxa"/>
              <w:right w:w="15" w:type="dxa"/>
            </w:tcMar>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tcMar>
              <w:top w:w="15" w:type="dxa"/>
              <w:left w:w="15" w:type="dxa"/>
              <w:bottom w:w="15" w:type="dxa"/>
              <w:right w:w="15" w:type="dxa"/>
            </w:tcMar>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4" w:hRule="atLeast"/>
          <w:jc w:val="center"/>
        </w:trPr>
        <w:tc>
          <w:tcPr>
            <w:tcW w:w="840" w:type="dxa"/>
            <w:vMerge w:val="restart"/>
            <w:noWrap w:val="0"/>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val="en-US" w:eastAsia="zh-CN"/>
              </w:rPr>
              <w:t>八</w:t>
            </w:r>
            <w:r>
              <w:rPr>
                <w:rFonts w:hint="default" w:ascii="Times New Roman" w:hAnsi="Times New Roman" w:eastAsia="方正仿宋_GBK" w:cs="Times New Roman"/>
                <w:color w:val="auto"/>
                <w:sz w:val="18"/>
                <w:szCs w:val="18"/>
              </w:rPr>
              <w:t>、</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创新</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引领</w:t>
            </w:r>
          </w:p>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w:t>
            </w:r>
            <w:r>
              <w:rPr>
                <w:rFonts w:hint="default" w:ascii="Times New Roman" w:hAnsi="Times New Roman" w:eastAsia="方正仿宋_GBK" w:cs="Times New Roman"/>
                <w:color w:val="auto"/>
                <w:sz w:val="18"/>
                <w:szCs w:val="18"/>
                <w:lang w:val="en-US" w:eastAsia="zh-CN"/>
              </w:rPr>
              <w:t>5</w:t>
            </w:r>
            <w:r>
              <w:rPr>
                <w:rFonts w:hint="default" w:ascii="Times New Roman" w:hAnsi="Times New Roman" w:eastAsia="方正仿宋_GBK" w:cs="Times New Roman"/>
                <w:color w:val="auto"/>
                <w:sz w:val="18"/>
                <w:szCs w:val="18"/>
              </w:rPr>
              <w:t>分）</w:t>
            </w:r>
          </w:p>
        </w:tc>
        <w:tc>
          <w:tcPr>
            <w:tcW w:w="1050" w:type="dxa"/>
            <w:vMerge w:val="restart"/>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慢性病综合防控工作有特色、可复制、可推广。（35分）</w:t>
            </w:r>
          </w:p>
        </w:tc>
        <w:tc>
          <w:tcPr>
            <w:tcW w:w="1663" w:type="dxa"/>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1.倡导慢性病综合防控工作与当地社会、文化等建设和公共服务、公共产品供给相结合。</w:t>
            </w:r>
          </w:p>
        </w:tc>
        <w:tc>
          <w:tcPr>
            <w:tcW w:w="2700" w:type="dxa"/>
            <w:noWrap w:val="0"/>
            <w:vAlign w:val="center"/>
          </w:tcPr>
          <w:p>
            <w:pPr>
              <w:widowControl/>
              <w:textAlignment w:val="top"/>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慢性病综合防控工作与辖区社区文化建设、健康城市建设、文明创建、公共服务与公共产品等相关项目有机衔接整合，以达到1+1&gt;2的实际效果。建立协同工作机制并有效衔接达5项，10分；2-4项，5分；其余0分。</w:t>
            </w:r>
          </w:p>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未达到提高实际效果者分数减半。</w:t>
            </w:r>
          </w:p>
        </w:tc>
        <w:tc>
          <w:tcPr>
            <w:tcW w:w="572" w:type="dxa"/>
            <w:noWrap w:val="0"/>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10</w:t>
            </w:r>
          </w:p>
        </w:tc>
        <w:tc>
          <w:tcPr>
            <w:tcW w:w="1470" w:type="dxa"/>
            <w:noWrap w:val="0"/>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查阅项目计划书与总结报告等资料，现场评估。</w:t>
            </w:r>
          </w:p>
        </w:tc>
        <w:tc>
          <w:tcPr>
            <w:tcW w:w="1155" w:type="dxa"/>
            <w:noWrap w:val="0"/>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市文明办、市文化和旅游局</w:t>
            </w:r>
          </w:p>
        </w:tc>
        <w:tc>
          <w:tcPr>
            <w:tcW w:w="1155" w:type="dxa"/>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2.总结有创新、特色案例。</w:t>
            </w:r>
          </w:p>
        </w:tc>
        <w:tc>
          <w:tcPr>
            <w:tcW w:w="2700" w:type="dxa"/>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创新特色案例达2个，案例撰写符合要求，15分；1个，10分；其余0分。案例撰写不符合要求者分数减半。</w:t>
            </w:r>
          </w:p>
        </w:tc>
        <w:tc>
          <w:tcPr>
            <w:tcW w:w="572" w:type="dxa"/>
            <w:vMerge w:val="restart"/>
            <w:noWrap w:val="0"/>
            <w:vAlign w:val="center"/>
          </w:tcPr>
          <w:p>
            <w:pPr>
              <w:jc w:val="center"/>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15</w:t>
            </w:r>
          </w:p>
        </w:tc>
        <w:tc>
          <w:tcPr>
            <w:tcW w:w="1470" w:type="dxa"/>
            <w:vMerge w:val="restart"/>
            <w:noWrap w:val="0"/>
            <w:vAlign w:val="center"/>
          </w:tcPr>
          <w:p>
            <w:pPr>
              <w:jc w:val="left"/>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kern w:val="0"/>
                <w:sz w:val="18"/>
                <w:szCs w:val="18"/>
              </w:rPr>
              <w:t>查阅案例文件，查阅该案例的相关原始素材等资料，现场评估。</w:t>
            </w:r>
          </w:p>
        </w:tc>
        <w:tc>
          <w:tcPr>
            <w:tcW w:w="1155" w:type="dxa"/>
            <w:vMerge w:val="restart"/>
            <w:noWrap w:val="0"/>
            <w:vAlign w:val="center"/>
          </w:tcPr>
          <w:p>
            <w:pPr>
              <w:jc w:val="center"/>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市创建办</w:t>
            </w:r>
          </w:p>
        </w:tc>
        <w:tc>
          <w:tcPr>
            <w:tcW w:w="1155" w:type="dxa"/>
            <w:vMerge w:val="restart"/>
            <w:noWrap w:val="0"/>
            <w:vAlign w:val="center"/>
          </w:tcPr>
          <w:p>
            <w:pPr>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widowControl/>
              <w:textAlignment w:val="top"/>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sz w:val="18"/>
                <w:szCs w:val="18"/>
              </w:rPr>
              <w:t>创</w:t>
            </w:r>
            <w:r>
              <w:rPr>
                <w:rFonts w:hint="default" w:ascii="Times New Roman" w:hAnsi="Times New Roman" w:eastAsia="方正仿宋_GBK" w:cs="Times New Roman"/>
                <w:color w:val="auto"/>
                <w:kern w:val="0"/>
                <w:sz w:val="18"/>
                <w:szCs w:val="18"/>
              </w:rPr>
              <w:t>复审：区别于创建年份的创新特色案例达到3个，撰写符合要求，15分；2个，10分；其余0分。案例撰写不符合要求者分数减半。</w:t>
            </w:r>
          </w:p>
        </w:tc>
        <w:tc>
          <w:tcPr>
            <w:tcW w:w="572" w:type="dxa"/>
            <w:vMerge w:val="continue"/>
            <w:noWrap w:val="0"/>
            <w:vAlign w:val="center"/>
          </w:tcPr>
          <w:p>
            <w:pPr>
              <w:jc w:val="center"/>
              <w:rPr>
                <w:rFonts w:hint="default" w:ascii="Times New Roman" w:hAnsi="Times New Roman" w:eastAsia="方正仿宋_GBK" w:cs="Times New Roman"/>
                <w:color w:val="auto"/>
                <w:kern w:val="2"/>
                <w:sz w:val="18"/>
                <w:szCs w:val="18"/>
                <w:lang w:val="en-US" w:eastAsia="zh-CN" w:bidi="ar-SA"/>
              </w:rPr>
            </w:pPr>
          </w:p>
        </w:tc>
        <w:tc>
          <w:tcPr>
            <w:tcW w:w="1470" w:type="dxa"/>
            <w:vMerge w:val="continue"/>
            <w:noWrap w:val="0"/>
            <w:vAlign w:val="center"/>
          </w:tcPr>
          <w:p>
            <w:pPr>
              <w:jc w:val="left"/>
              <w:rPr>
                <w:rFonts w:hint="default" w:ascii="Times New Roman" w:hAnsi="Times New Roman" w:eastAsia="方正仿宋_GBK" w:cs="Times New Roman"/>
                <w:color w:val="auto"/>
                <w:kern w:val="2"/>
                <w:sz w:val="18"/>
                <w:szCs w:val="18"/>
                <w:lang w:val="en-US" w:eastAsia="zh-CN" w:bidi="ar-SA"/>
              </w:rPr>
            </w:pPr>
          </w:p>
        </w:tc>
        <w:tc>
          <w:tcPr>
            <w:tcW w:w="1155" w:type="dxa"/>
            <w:vMerge w:val="continue"/>
            <w:noWrap w:val="0"/>
            <w:vAlign w:val="center"/>
          </w:tcPr>
          <w:p>
            <w:pPr>
              <w:jc w:val="center"/>
              <w:rPr>
                <w:rFonts w:hint="default" w:ascii="Times New Roman" w:hAnsi="Times New Roman" w:eastAsia="方正仿宋_GBK" w:cs="Times New Roman"/>
                <w:color w:val="auto"/>
                <w:kern w:val="2"/>
                <w:sz w:val="18"/>
                <w:szCs w:val="18"/>
                <w:lang w:val="en-US" w:eastAsia="zh-CN" w:bidi="ar-SA"/>
              </w:rPr>
            </w:pPr>
          </w:p>
        </w:tc>
        <w:tc>
          <w:tcPr>
            <w:tcW w:w="1155" w:type="dxa"/>
            <w:vMerge w:val="continue"/>
            <w:noWrap w:val="0"/>
            <w:vAlign w:val="center"/>
          </w:tcPr>
          <w:p>
            <w:pPr>
              <w:rPr>
                <w:rFonts w:hint="default" w:ascii="Times New Roman" w:hAnsi="Times New Roman" w:eastAsia="方正仿宋_GBK"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widowControl/>
              <w:textAlignment w:val="top"/>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案例撰写要求包括：主题鲜明突出防控重点、技术流程清晰逻辑性强、特色突出创新意识明显、易于被推广可操作性强。</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restart"/>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3.示范区建设成功经验起到示范引领作用。</w:t>
            </w:r>
          </w:p>
        </w:tc>
        <w:tc>
          <w:tcPr>
            <w:tcW w:w="2700" w:type="dxa"/>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（1）示范区建设成功经验在本辖区得到有效推广应用2项及以上，5分；1项，2分；其余0分。</w:t>
            </w:r>
          </w:p>
        </w:tc>
        <w:tc>
          <w:tcPr>
            <w:tcW w:w="572" w:type="dxa"/>
            <w:vMerge w:val="restart"/>
            <w:noWrap w:val="0"/>
            <w:vAlign w:val="center"/>
          </w:tcPr>
          <w:p>
            <w:pPr>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10</w:t>
            </w:r>
          </w:p>
        </w:tc>
        <w:tc>
          <w:tcPr>
            <w:tcW w:w="1470" w:type="dxa"/>
            <w:vMerge w:val="restart"/>
            <w:noWrap w:val="0"/>
            <w:vAlign w:val="center"/>
          </w:tcPr>
          <w:p>
            <w:pPr>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查阅每项被推广应查看成功经验描述件、省级要求的推广文件、推广后的反响等资料，现场评估。</w:t>
            </w:r>
          </w:p>
        </w:tc>
        <w:tc>
          <w:tcPr>
            <w:tcW w:w="1155" w:type="dxa"/>
            <w:vMerge w:val="restart"/>
            <w:noWrap w:val="0"/>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市创建办</w:t>
            </w:r>
          </w:p>
        </w:tc>
        <w:tc>
          <w:tcPr>
            <w:tcW w:w="1155" w:type="dxa"/>
            <w:vMerge w:val="restart"/>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840" w:type="dxa"/>
            <w:vMerge w:val="continue"/>
            <w:noWrap w:val="0"/>
            <w:vAlign w:val="center"/>
          </w:tcPr>
          <w:p>
            <w:pPr>
              <w:rPr>
                <w:rFonts w:hint="default" w:ascii="Times New Roman" w:hAnsi="Times New Roman" w:eastAsia="方正仿宋_GBK" w:cs="Times New Roman"/>
                <w:color w:val="auto"/>
                <w:sz w:val="18"/>
                <w:szCs w:val="18"/>
              </w:rPr>
            </w:pPr>
          </w:p>
        </w:tc>
        <w:tc>
          <w:tcPr>
            <w:tcW w:w="1050" w:type="dxa"/>
            <w:vMerge w:val="continue"/>
            <w:noWrap w:val="0"/>
            <w:vAlign w:val="center"/>
          </w:tcPr>
          <w:p>
            <w:pPr>
              <w:rPr>
                <w:rFonts w:hint="default" w:ascii="Times New Roman" w:hAnsi="Times New Roman" w:eastAsia="方正仿宋_GBK" w:cs="Times New Roman"/>
                <w:color w:val="auto"/>
                <w:sz w:val="18"/>
                <w:szCs w:val="18"/>
              </w:rPr>
            </w:pPr>
          </w:p>
        </w:tc>
        <w:tc>
          <w:tcPr>
            <w:tcW w:w="1663" w:type="dxa"/>
            <w:vMerge w:val="continue"/>
            <w:noWrap w:val="0"/>
            <w:vAlign w:val="center"/>
          </w:tcPr>
          <w:p>
            <w:pPr>
              <w:rPr>
                <w:rFonts w:hint="default" w:ascii="Times New Roman" w:hAnsi="Times New Roman" w:eastAsia="方正仿宋_GBK" w:cs="Times New Roman"/>
                <w:color w:val="auto"/>
                <w:sz w:val="18"/>
                <w:szCs w:val="18"/>
              </w:rPr>
            </w:pPr>
          </w:p>
        </w:tc>
        <w:tc>
          <w:tcPr>
            <w:tcW w:w="2700" w:type="dxa"/>
            <w:noWrap w:val="0"/>
            <w:vAlign w:val="center"/>
          </w:tcPr>
          <w:p>
            <w:pP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rPr>
              <w:t>（2）示范区建设成功经验在辖区外得到有效推广应用2项及以上，5分；1项，2分；其余0分。</w:t>
            </w:r>
          </w:p>
        </w:tc>
        <w:tc>
          <w:tcPr>
            <w:tcW w:w="572"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470" w:type="dxa"/>
            <w:vMerge w:val="continue"/>
            <w:noWrap w:val="0"/>
            <w:vAlign w:val="center"/>
          </w:tcPr>
          <w:p>
            <w:pPr>
              <w:jc w:val="left"/>
              <w:rPr>
                <w:rFonts w:hint="default" w:ascii="Times New Roman" w:hAnsi="Times New Roman" w:eastAsia="方正仿宋_GBK" w:cs="Times New Roman"/>
                <w:color w:val="auto"/>
                <w:sz w:val="18"/>
                <w:szCs w:val="18"/>
              </w:rPr>
            </w:pPr>
          </w:p>
        </w:tc>
        <w:tc>
          <w:tcPr>
            <w:tcW w:w="1155" w:type="dxa"/>
            <w:vMerge w:val="continue"/>
            <w:noWrap w:val="0"/>
            <w:vAlign w:val="center"/>
          </w:tcPr>
          <w:p>
            <w:pPr>
              <w:jc w:val="center"/>
              <w:rPr>
                <w:rFonts w:hint="default" w:ascii="Times New Roman" w:hAnsi="Times New Roman" w:eastAsia="方正仿宋_GBK" w:cs="Times New Roman"/>
                <w:color w:val="auto"/>
                <w:sz w:val="18"/>
                <w:szCs w:val="18"/>
              </w:rPr>
            </w:pPr>
          </w:p>
        </w:tc>
        <w:tc>
          <w:tcPr>
            <w:tcW w:w="1155" w:type="dxa"/>
            <w:vMerge w:val="continue"/>
            <w:noWrap w:val="0"/>
            <w:vAlign w:val="center"/>
          </w:tcPr>
          <w:p>
            <w:pPr>
              <w:rPr>
                <w:rFonts w:hint="default" w:ascii="Times New Roman" w:hAnsi="Times New Roman" w:eastAsia="方正仿宋_GBK"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840" w:type="dxa"/>
            <w:noWrap w:val="0"/>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合计</w:t>
            </w:r>
          </w:p>
        </w:tc>
        <w:tc>
          <w:tcPr>
            <w:tcW w:w="1050" w:type="dxa"/>
            <w:noWrap w:val="0"/>
            <w:vAlign w:val="center"/>
          </w:tcPr>
          <w:p>
            <w:pPr>
              <w:jc w:val="center"/>
              <w:rPr>
                <w:rFonts w:hint="default" w:ascii="Times New Roman" w:hAnsi="Times New Roman" w:eastAsia="方正仿宋_GBK" w:cs="Times New Roman"/>
                <w:color w:val="auto"/>
                <w:sz w:val="18"/>
                <w:szCs w:val="18"/>
              </w:rPr>
            </w:pPr>
          </w:p>
        </w:tc>
        <w:tc>
          <w:tcPr>
            <w:tcW w:w="1663" w:type="dxa"/>
            <w:noWrap w:val="0"/>
            <w:vAlign w:val="center"/>
          </w:tcPr>
          <w:p>
            <w:pPr>
              <w:jc w:val="center"/>
              <w:rPr>
                <w:rFonts w:hint="default" w:ascii="Times New Roman" w:hAnsi="Times New Roman" w:eastAsia="方正仿宋_GBK" w:cs="Times New Roman"/>
                <w:color w:val="auto"/>
                <w:sz w:val="18"/>
                <w:szCs w:val="18"/>
              </w:rPr>
            </w:pPr>
          </w:p>
        </w:tc>
        <w:tc>
          <w:tcPr>
            <w:tcW w:w="2700" w:type="dxa"/>
            <w:noWrap w:val="0"/>
            <w:vAlign w:val="center"/>
          </w:tcPr>
          <w:p>
            <w:pPr>
              <w:jc w:val="center"/>
              <w:rPr>
                <w:rFonts w:hint="default" w:ascii="Times New Roman" w:hAnsi="Times New Roman" w:eastAsia="方正仿宋_GBK" w:cs="Times New Roman"/>
                <w:color w:val="auto"/>
                <w:sz w:val="18"/>
                <w:szCs w:val="18"/>
              </w:rPr>
            </w:pPr>
          </w:p>
        </w:tc>
        <w:tc>
          <w:tcPr>
            <w:tcW w:w="572" w:type="dxa"/>
            <w:noWrap w:val="0"/>
            <w:vAlign w:val="center"/>
          </w:tcPr>
          <w:p>
            <w:pPr>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300</w:t>
            </w:r>
          </w:p>
        </w:tc>
        <w:tc>
          <w:tcPr>
            <w:tcW w:w="1470" w:type="dxa"/>
            <w:noWrap w:val="0"/>
            <w:vAlign w:val="center"/>
          </w:tcPr>
          <w:p>
            <w:pPr>
              <w:jc w:val="center"/>
              <w:rPr>
                <w:rFonts w:hint="default" w:ascii="Times New Roman" w:hAnsi="Times New Roman" w:eastAsia="方正仿宋_GBK" w:cs="Times New Roman"/>
                <w:color w:val="auto"/>
                <w:sz w:val="18"/>
                <w:szCs w:val="18"/>
              </w:rPr>
            </w:pPr>
          </w:p>
        </w:tc>
        <w:tc>
          <w:tcPr>
            <w:tcW w:w="1155" w:type="dxa"/>
            <w:noWrap w:val="0"/>
            <w:vAlign w:val="center"/>
          </w:tcPr>
          <w:p>
            <w:pPr>
              <w:jc w:val="center"/>
              <w:rPr>
                <w:rFonts w:hint="default" w:ascii="Times New Roman" w:hAnsi="Times New Roman" w:eastAsia="方正仿宋_GBK" w:cs="Times New Roman"/>
                <w:color w:val="auto"/>
                <w:sz w:val="18"/>
                <w:szCs w:val="18"/>
              </w:rPr>
            </w:pPr>
          </w:p>
        </w:tc>
        <w:tc>
          <w:tcPr>
            <w:tcW w:w="1155" w:type="dxa"/>
            <w:noWrap w:val="0"/>
            <w:vAlign w:val="center"/>
          </w:tcPr>
          <w:p>
            <w:pPr>
              <w:rPr>
                <w:rFonts w:hint="default" w:ascii="Times New Roman" w:hAnsi="Times New Roman" w:eastAsia="方正仿宋_GBK" w:cs="Times New Roman"/>
                <w:color w:val="auto"/>
                <w:sz w:val="18"/>
                <w:szCs w:val="18"/>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237BC"/>
    <w:rsid w:val="1A1237BC"/>
    <w:rsid w:val="6F922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21"/>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2023-05-26T09:01:00Z</dcterms:created>
  <dc:creator>Zero°</dc:creator>
  <cp:lastModifiedBy>Zero°</cp:lastModifiedBy>
  <dcterms:modified xsi:type="dcterms:W3CDTF">2023-05-26T09:26:31Z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