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667A28">
      <w:pPr>
        <w:jc w:val="center"/>
        <w:rPr>
          <w:rFonts w:ascii="Times New Roman" w:hAnsi="Times New Roman" w:eastAsia="方正小标宋简体" w:cs="Times New Roman"/>
          <w:sz w:val="44"/>
          <w:szCs w:val="44"/>
        </w:rPr>
      </w:pPr>
    </w:p>
    <w:p w14:paraId="45C5EC1D">
      <w:pPr>
        <w:jc w:val="center"/>
        <w:rPr>
          <w:rFonts w:ascii="Times New Roman" w:hAnsi="Times New Roman" w:eastAsia="方正小标宋简体" w:cs="Times New Roman"/>
          <w:sz w:val="44"/>
          <w:szCs w:val="44"/>
        </w:rPr>
      </w:pPr>
    </w:p>
    <w:p w14:paraId="5D0FB024">
      <w:pPr>
        <w:jc w:val="center"/>
        <w:rPr>
          <w:rFonts w:ascii="Times New Roman" w:hAnsi="Times New Roman" w:eastAsia="方正小标宋简体" w:cs="Times New Roman"/>
          <w:sz w:val="44"/>
          <w:szCs w:val="44"/>
        </w:rPr>
      </w:pPr>
    </w:p>
    <w:p w14:paraId="3D8FBC06">
      <w:pPr>
        <w:jc w:val="center"/>
        <w:rPr>
          <w:rFonts w:ascii="Times New Roman" w:hAnsi="Times New Roman" w:eastAsia="方正小标宋简体" w:cs="Times New Roman"/>
          <w:sz w:val="44"/>
          <w:szCs w:val="44"/>
        </w:rPr>
      </w:pPr>
      <w:r>
        <w:rPr>
          <w:rFonts w:hint="eastAsia" w:ascii="Times New Roman" w:hAnsi="Times New Roman" w:eastAsia="方正小标宋简体" w:cs="Times New Roman"/>
          <w:sz w:val="44"/>
          <w:szCs w:val="44"/>
        </w:rPr>
        <w:t>云南省德宏州瑞丽市征收农用地区片综合地价测算结果报告</w:t>
      </w:r>
    </w:p>
    <w:p w14:paraId="0AF05208">
      <w:pPr>
        <w:jc w:val="center"/>
        <w:rPr>
          <w:rFonts w:ascii="Times New Roman" w:hAnsi="Times New Roman" w:eastAsia="方正小标宋简体" w:cs="Times New Roman"/>
          <w:sz w:val="44"/>
          <w:szCs w:val="44"/>
        </w:rPr>
      </w:pPr>
    </w:p>
    <w:p w14:paraId="6EFE7048">
      <w:pPr>
        <w:jc w:val="center"/>
        <w:rPr>
          <w:rFonts w:ascii="Times New Roman" w:hAnsi="Times New Roman" w:eastAsia="方正小标宋简体" w:cs="Times New Roman"/>
          <w:sz w:val="44"/>
          <w:szCs w:val="44"/>
        </w:rPr>
      </w:pPr>
    </w:p>
    <w:p w14:paraId="7E19395A">
      <w:pPr>
        <w:jc w:val="center"/>
        <w:rPr>
          <w:rFonts w:ascii="Times New Roman" w:hAnsi="Times New Roman" w:eastAsia="方正小标宋简体" w:cs="Times New Roman"/>
          <w:sz w:val="44"/>
          <w:szCs w:val="44"/>
        </w:rPr>
      </w:pPr>
    </w:p>
    <w:p w14:paraId="1DFA7ECA">
      <w:pPr>
        <w:jc w:val="center"/>
        <w:rPr>
          <w:rFonts w:ascii="Times New Roman" w:hAnsi="Times New Roman" w:eastAsia="方正小标宋简体" w:cs="Times New Roman"/>
          <w:sz w:val="44"/>
          <w:szCs w:val="44"/>
        </w:rPr>
      </w:pPr>
    </w:p>
    <w:p w14:paraId="47B7065F">
      <w:pPr>
        <w:jc w:val="center"/>
        <w:rPr>
          <w:rFonts w:ascii="Times New Roman" w:hAnsi="Times New Roman" w:eastAsia="方正小标宋简体" w:cs="Times New Roman"/>
          <w:sz w:val="44"/>
          <w:szCs w:val="44"/>
        </w:rPr>
      </w:pPr>
    </w:p>
    <w:p w14:paraId="62296A42">
      <w:pPr>
        <w:jc w:val="center"/>
        <w:rPr>
          <w:rFonts w:ascii="Times New Roman" w:hAnsi="Times New Roman" w:eastAsia="方正小标宋简体" w:cs="Times New Roman"/>
          <w:sz w:val="44"/>
          <w:szCs w:val="44"/>
        </w:rPr>
      </w:pPr>
    </w:p>
    <w:p w14:paraId="30222BD4">
      <w:pPr>
        <w:jc w:val="center"/>
        <w:rPr>
          <w:rFonts w:ascii="Times New Roman" w:hAnsi="Times New Roman" w:eastAsia="方正小标宋简体" w:cs="Times New Roman"/>
          <w:sz w:val="44"/>
          <w:szCs w:val="44"/>
        </w:rPr>
      </w:pPr>
    </w:p>
    <w:p w14:paraId="42B4508B">
      <w:pPr>
        <w:jc w:val="center"/>
        <w:rPr>
          <w:rFonts w:ascii="Times New Roman" w:hAnsi="Times New Roman" w:eastAsia="方正小标宋简体" w:cs="Times New Roman"/>
          <w:sz w:val="44"/>
          <w:szCs w:val="44"/>
        </w:rPr>
      </w:pPr>
    </w:p>
    <w:p w14:paraId="2E702135">
      <w:pPr>
        <w:jc w:val="center"/>
        <w:rPr>
          <w:rFonts w:ascii="Times New Roman" w:hAnsi="Times New Roman" w:eastAsia="方正小标宋简体" w:cs="Times New Roman"/>
          <w:sz w:val="44"/>
          <w:szCs w:val="44"/>
        </w:rPr>
      </w:pPr>
    </w:p>
    <w:p w14:paraId="4097CC9B">
      <w:pPr>
        <w:jc w:val="center"/>
        <w:rPr>
          <w:rFonts w:ascii="Times New Roman" w:hAnsi="Times New Roman" w:eastAsia="方正小标宋简体" w:cs="Times New Roman"/>
          <w:sz w:val="44"/>
          <w:szCs w:val="44"/>
        </w:rPr>
      </w:pPr>
    </w:p>
    <w:p w14:paraId="35CCEC63">
      <w:pPr>
        <w:jc w:val="center"/>
        <w:rPr>
          <w:rFonts w:ascii="Times New Roman" w:hAnsi="Times New Roman" w:eastAsia="方正小标宋简体" w:cs="Times New Roman"/>
          <w:sz w:val="44"/>
          <w:szCs w:val="44"/>
        </w:rPr>
      </w:pPr>
    </w:p>
    <w:p w14:paraId="229CC892">
      <w:pPr>
        <w:jc w:val="center"/>
        <w:rPr>
          <w:rFonts w:ascii="Times New Roman" w:hAnsi="Times New Roman" w:eastAsia="方正小标宋简体" w:cs="Times New Roman"/>
          <w:sz w:val="44"/>
          <w:szCs w:val="44"/>
        </w:rPr>
      </w:pPr>
    </w:p>
    <w:p w14:paraId="6D6C89A0">
      <w:pPr>
        <w:spacing w:line="360" w:lineRule="auto"/>
        <w:jc w:val="center"/>
        <w:rPr>
          <w:rFonts w:ascii="Times New Roman" w:hAnsi="Times New Roman" w:cs="Times New Roman"/>
          <w:b/>
          <w:bCs/>
          <w:sz w:val="32"/>
          <w:szCs w:val="44"/>
        </w:rPr>
      </w:pPr>
      <w:r>
        <w:rPr>
          <w:rFonts w:hint="eastAsia" w:ascii="Times New Roman" w:hAnsi="Times New Roman" w:cs="Times New Roman"/>
          <w:b/>
          <w:bCs/>
          <w:sz w:val="32"/>
          <w:szCs w:val="44"/>
        </w:rPr>
        <w:t>瑞丽市自然资源局</w:t>
      </w:r>
    </w:p>
    <w:p w14:paraId="2FEAA442">
      <w:pPr>
        <w:spacing w:line="360" w:lineRule="auto"/>
        <w:jc w:val="center"/>
        <w:rPr>
          <w:rFonts w:ascii="Times New Roman" w:hAnsi="Times New Roman" w:cs="Times New Roman"/>
          <w:b/>
          <w:bCs/>
          <w:sz w:val="32"/>
          <w:szCs w:val="44"/>
        </w:rPr>
      </w:pPr>
      <w:r>
        <w:rPr>
          <w:rFonts w:hint="eastAsia" w:ascii="Times New Roman" w:hAnsi="Times New Roman" w:cs="Times New Roman"/>
          <w:b/>
          <w:bCs/>
          <w:sz w:val="32"/>
          <w:szCs w:val="44"/>
        </w:rPr>
        <w:t>云南优化房地产土地资产评估咨询有限公司</w:t>
      </w:r>
    </w:p>
    <w:p w14:paraId="260D5D7E">
      <w:pPr>
        <w:jc w:val="center"/>
        <w:rPr>
          <w:rFonts w:ascii="Times New Roman" w:hAnsi="Times New Roman" w:cs="Times New Roman"/>
          <w:b/>
          <w:bCs/>
          <w:sz w:val="32"/>
          <w:szCs w:val="44"/>
        </w:rPr>
        <w:sectPr>
          <w:footerReference r:id="rId3" w:type="default"/>
          <w:pgSz w:w="11906" w:h="16838"/>
          <w:pgMar w:top="1417" w:right="1247" w:bottom="1417" w:left="1587" w:header="851" w:footer="992" w:gutter="0"/>
          <w:cols w:space="0" w:num="1"/>
          <w:docGrid w:type="lines" w:linePitch="312" w:charSpace="0"/>
        </w:sectPr>
      </w:pPr>
      <w:r>
        <w:rPr>
          <w:rFonts w:ascii="Times New Roman" w:hAnsi="Times New Roman" w:cs="Times New Roman"/>
          <w:b/>
          <w:bCs/>
          <w:sz w:val="32"/>
          <w:szCs w:val="44"/>
        </w:rPr>
        <w:t>2020</w:t>
      </w:r>
      <w:r>
        <w:rPr>
          <w:rFonts w:hint="eastAsia" w:ascii="Times New Roman" w:hAnsi="Times New Roman" w:cs="Times New Roman"/>
          <w:b/>
          <w:bCs/>
          <w:sz w:val="32"/>
          <w:szCs w:val="44"/>
        </w:rPr>
        <w:t>年2月</w:t>
      </w:r>
    </w:p>
    <w:p w14:paraId="59CC506F">
      <w:pPr>
        <w:spacing w:line="360" w:lineRule="auto"/>
        <w:outlineLvl w:val="0"/>
        <w:rPr>
          <w:rFonts w:ascii="Times New Roman" w:hAnsi="Times New Roman" w:eastAsia="黑体" w:cs="Times New Roman"/>
          <w:b/>
          <w:bCs/>
          <w:sz w:val="30"/>
          <w:szCs w:val="30"/>
        </w:rPr>
      </w:pPr>
      <w:bookmarkStart w:id="0" w:name="_Toc25697"/>
      <w:bookmarkStart w:id="1" w:name="_Toc20272"/>
      <w:bookmarkStart w:id="2" w:name="_Toc21017"/>
      <w:r>
        <w:rPr>
          <w:rFonts w:hint="eastAsia" w:ascii="Times New Roman" w:hAnsi="Times New Roman" w:eastAsia="黑体" w:cs="Times New Roman"/>
          <w:b/>
          <w:bCs/>
          <w:sz w:val="30"/>
          <w:szCs w:val="30"/>
        </w:rPr>
        <w:t>一、工作背景与目的</w:t>
      </w:r>
    </w:p>
    <w:p w14:paraId="72F8B261">
      <w:pPr>
        <w:spacing w:line="360" w:lineRule="auto"/>
        <w:ind w:firstLine="562" w:firstLineChars="200"/>
        <w:outlineLvl w:val="1"/>
        <w:rPr>
          <w:rFonts w:ascii="Times New Roman" w:hAnsi="Times New Roman" w:cs="Times New Roman"/>
          <w:b/>
          <w:bCs/>
          <w:sz w:val="28"/>
          <w:szCs w:val="28"/>
        </w:rPr>
      </w:pPr>
      <w:r>
        <w:rPr>
          <w:rFonts w:hint="eastAsia" w:ascii="Times New Roman" w:hAnsi="Times New Roman" w:cs="Times New Roman"/>
          <w:b/>
          <w:bCs/>
          <w:sz w:val="28"/>
          <w:szCs w:val="28"/>
        </w:rPr>
        <w:t>（一）工作背景</w:t>
      </w:r>
    </w:p>
    <w:p w14:paraId="2277BE71">
      <w:pPr>
        <w:ind w:firstLine="560" w:firstLineChars="200"/>
        <w:rPr>
          <w:rFonts w:eastAsia="仿宋_GB2312"/>
          <w:sz w:val="28"/>
          <w:szCs w:val="28"/>
        </w:rPr>
      </w:pPr>
      <w:r>
        <w:rPr>
          <w:rFonts w:hint="eastAsia" w:eastAsia="仿宋_GB2312"/>
          <w:sz w:val="28"/>
          <w:szCs w:val="28"/>
        </w:rPr>
        <w:t>我市现行征地补偿标准是以2012年12月31日为时点进行修订，修订范围主要为覆盖全市范围内的耕地，征地补偿标准的具体表现形式为“征地统一年产值补偿标准”，并于2014年6月1日起实施。</w:t>
      </w:r>
    </w:p>
    <w:p w14:paraId="3EC3C5B3">
      <w:pPr>
        <w:ind w:firstLine="560" w:firstLineChars="200"/>
        <w:rPr>
          <w:rFonts w:eastAsia="仿宋_GB2312"/>
          <w:sz w:val="28"/>
          <w:szCs w:val="28"/>
        </w:rPr>
      </w:pPr>
      <w:r>
        <w:rPr>
          <w:rFonts w:hint="eastAsia" w:eastAsia="仿宋_GB2312"/>
          <w:sz w:val="28"/>
          <w:szCs w:val="28"/>
        </w:rPr>
        <w:t>根据《中华人民共和国土地管理法》（第十三届全国人大常委会第十二次会议表决通过，2020年1月1日实施）四十八条之规定“征收农用地的土地补偿费、安置补助费标准由省、自治区、直辖市通过制订公布区片综合地价确定。制订区片综合地价应当综合考虑土地原用途、土地资源条件、土地产值、土地区位、土地供求关系、人口以及经济社会发展水平等因素，并至少每三年调整或者重新公布一次”。即我市原征地补偿标准从具体表现形式上、时效性、内涵、覆盖范围均不符合法律的要求。</w:t>
      </w:r>
    </w:p>
    <w:p w14:paraId="43B6C886">
      <w:pPr>
        <w:ind w:firstLine="560" w:firstLineChars="200"/>
        <w:rPr>
          <w:rFonts w:eastAsia="仿宋_GB2312"/>
          <w:sz w:val="28"/>
          <w:szCs w:val="28"/>
        </w:rPr>
      </w:pPr>
      <w:r>
        <w:rPr>
          <w:rFonts w:hint="eastAsia" w:eastAsia="仿宋_GB2312"/>
          <w:sz w:val="28"/>
          <w:szCs w:val="28"/>
        </w:rPr>
        <w:t>按照《自然资源部办公厅关于加快制定征收农用地区片综合地价工作的通知》（自然资办发〔2019〕53号）和《云南省自然资源厅关于转发自然资源部办公厅加快制定征收农用地区片综合地价工作文件的通知》（云自然资审批〔2020〕11号）的要求，为实现被征地农民原有生活水平不降低，长远生计有保障，在云南省自然资源厅的统一部署和州自然资源和规划局的指导下，报经市委、市政府同意，于2020年1月初全面启动我市区片综合地价测算工作，并要求在2020年3月底前完成市级成果编制后汇总上报。</w:t>
      </w:r>
    </w:p>
    <w:p w14:paraId="262B3CCF">
      <w:pPr>
        <w:spacing w:line="360" w:lineRule="auto"/>
        <w:ind w:firstLine="562" w:firstLineChars="200"/>
        <w:outlineLvl w:val="1"/>
        <w:rPr>
          <w:rFonts w:ascii="Times New Roman" w:hAnsi="Times New Roman" w:cs="Times New Roman"/>
          <w:b/>
          <w:bCs/>
          <w:sz w:val="28"/>
          <w:szCs w:val="28"/>
        </w:rPr>
      </w:pPr>
      <w:r>
        <w:rPr>
          <w:rFonts w:hint="eastAsia" w:ascii="Times New Roman" w:hAnsi="Times New Roman" w:cs="Times New Roman"/>
          <w:b/>
          <w:bCs/>
          <w:sz w:val="28"/>
          <w:szCs w:val="28"/>
        </w:rPr>
        <w:t>（二）工作目的</w:t>
      </w:r>
    </w:p>
    <w:p w14:paraId="45201F24">
      <w:pPr>
        <w:ind w:firstLine="560" w:firstLineChars="200"/>
        <w:rPr>
          <w:rFonts w:ascii="Times New Roman" w:hAnsi="Times New Roman" w:eastAsia="仿宋_GB2312" w:cs="Times New Roman"/>
          <w:sz w:val="28"/>
        </w:rPr>
      </w:pPr>
      <w:r>
        <w:rPr>
          <w:rFonts w:ascii="Times New Roman" w:hAnsi="Times New Roman" w:eastAsia="仿宋_GB2312" w:cs="Times New Roman"/>
          <w:sz w:val="28"/>
          <w:szCs w:val="28"/>
        </w:rPr>
        <w:t>开展征地区片综合地价制定工作,通过实施情况调查、摸底及测算，针对</w:t>
      </w:r>
      <w:r>
        <w:rPr>
          <w:rFonts w:hint="eastAsia" w:ascii="Times New Roman" w:hAnsi="Times New Roman" w:eastAsia="仿宋_GB2312" w:cs="Times New Roman"/>
          <w:sz w:val="28"/>
          <w:szCs w:val="28"/>
        </w:rPr>
        <w:t>我市征收耕地年产值倍数补偿办法</w:t>
      </w:r>
      <w:r>
        <w:rPr>
          <w:rFonts w:ascii="Times New Roman" w:hAnsi="Times New Roman" w:eastAsia="仿宋_GB2312" w:cs="Times New Roman"/>
          <w:sz w:val="28"/>
          <w:szCs w:val="28"/>
        </w:rPr>
        <w:t>实施中存在的主要问题，有针对性、科学合理划定区片和测算价格，并结合</w:t>
      </w:r>
      <w:r>
        <w:rPr>
          <w:rFonts w:hint="eastAsia" w:ascii="Times New Roman" w:hAnsi="Times New Roman" w:eastAsia="仿宋_GB2312" w:cs="Times New Roman"/>
          <w:sz w:val="28"/>
          <w:szCs w:val="28"/>
        </w:rPr>
        <w:t>我市</w:t>
      </w:r>
      <w:r>
        <w:rPr>
          <w:rFonts w:ascii="Times New Roman" w:hAnsi="Times New Roman" w:eastAsia="仿宋_GB2312" w:cs="Times New Roman"/>
          <w:sz w:val="28"/>
          <w:szCs w:val="28"/>
        </w:rPr>
        <w:t>经济发展水平、土地供求关系、城乡和社会保障制度等情况的发展变化情况，确保征地区片综合地价符合征地工作实际，进一步推进征收土地</w:t>
      </w:r>
      <w:r>
        <w:fldChar w:fldCharType="begin"/>
      </w:r>
      <w:r>
        <w:instrText xml:space="preserve"> HYPERLINK "https://www.tuliu.com/tags/403.html" \t "_blank" </w:instrText>
      </w:r>
      <w:r>
        <w:fldChar w:fldCharType="separate"/>
      </w:r>
      <w:r>
        <w:rPr>
          <w:rFonts w:ascii="Times New Roman" w:hAnsi="Times New Roman" w:eastAsia="仿宋_GB2312" w:cs="Times New Roman"/>
          <w:sz w:val="28"/>
          <w:szCs w:val="28"/>
        </w:rPr>
        <w:t>制度改革</w:t>
      </w:r>
      <w:r>
        <w:rPr>
          <w:rFonts w:ascii="Times New Roman" w:hAnsi="Times New Roman" w:eastAsia="仿宋_GB2312" w:cs="Times New Roman"/>
          <w:sz w:val="28"/>
          <w:szCs w:val="28"/>
        </w:rPr>
        <w:fldChar w:fldCharType="end"/>
      </w:r>
      <w:r>
        <w:rPr>
          <w:rFonts w:ascii="Times New Roman" w:hAnsi="Times New Roman" w:eastAsia="仿宋_GB2312" w:cs="Times New Roman"/>
          <w:sz w:val="28"/>
          <w:szCs w:val="28"/>
        </w:rPr>
        <w:t>，完善征收</w:t>
      </w:r>
      <w:r>
        <w:fldChar w:fldCharType="begin"/>
      </w:r>
      <w:r>
        <w:instrText xml:space="preserve"> HYPERLINK "https://www.tuliu.com/tags/518.html" \t "_blank" </w:instrText>
      </w:r>
      <w:r>
        <w:fldChar w:fldCharType="separate"/>
      </w:r>
      <w:r>
        <w:rPr>
          <w:rFonts w:ascii="Times New Roman" w:hAnsi="Times New Roman" w:eastAsia="仿宋_GB2312" w:cs="Times New Roman"/>
          <w:sz w:val="28"/>
          <w:szCs w:val="28"/>
        </w:rPr>
        <w:t>土地补偿</w:t>
      </w:r>
      <w:r>
        <w:rPr>
          <w:rFonts w:ascii="Times New Roman" w:hAnsi="Times New Roman" w:eastAsia="仿宋_GB2312" w:cs="Times New Roman"/>
          <w:sz w:val="28"/>
          <w:szCs w:val="28"/>
        </w:rPr>
        <w:fldChar w:fldCharType="end"/>
      </w:r>
      <w:r>
        <w:rPr>
          <w:rFonts w:ascii="Times New Roman" w:hAnsi="Times New Roman" w:eastAsia="仿宋_GB2312" w:cs="Times New Roman"/>
          <w:sz w:val="28"/>
          <w:szCs w:val="28"/>
        </w:rPr>
        <w:t>安置机制，规范征收土地补偿安置行为，维护被征收土地农民合法权益，保障被征地群众根本利益。</w:t>
      </w:r>
      <w:r>
        <w:rPr>
          <w:rFonts w:hint="eastAsia" w:ascii="Times New Roman" w:hAnsi="Times New Roman" w:eastAsia="仿宋_GB2312" w:cs="Times New Roman"/>
          <w:sz w:val="28"/>
          <w:szCs w:val="28"/>
        </w:rPr>
        <w:t xml:space="preserve"> </w:t>
      </w:r>
    </w:p>
    <w:p w14:paraId="33DAC1D5">
      <w:pPr>
        <w:spacing w:line="360" w:lineRule="auto"/>
        <w:outlineLvl w:val="0"/>
        <w:rPr>
          <w:rFonts w:ascii="Times New Roman" w:hAnsi="Times New Roman" w:cs="Times New Roman"/>
          <w:b/>
          <w:bCs/>
          <w:sz w:val="28"/>
          <w:szCs w:val="28"/>
        </w:rPr>
      </w:pPr>
      <w:r>
        <w:rPr>
          <w:rFonts w:hint="eastAsia" w:ascii="Times New Roman" w:hAnsi="Times New Roman" w:eastAsia="黑体" w:cs="Times New Roman"/>
          <w:b/>
          <w:bCs/>
          <w:sz w:val="30"/>
          <w:szCs w:val="30"/>
        </w:rPr>
        <w:t>二、区片价基本情况</w:t>
      </w:r>
    </w:p>
    <w:p w14:paraId="6EAB69E9">
      <w:pPr>
        <w:ind w:firstLine="562" w:firstLineChars="200"/>
        <w:rPr>
          <w:rFonts w:ascii="Times New Roman" w:hAnsi="Times New Roman" w:cs="Times New Roman"/>
          <w:b/>
          <w:bCs/>
          <w:sz w:val="28"/>
          <w:szCs w:val="28"/>
        </w:rPr>
      </w:pPr>
      <w:r>
        <w:rPr>
          <w:rFonts w:hint="eastAsia" w:ascii="Times New Roman" w:hAnsi="Times New Roman" w:cs="Times New Roman"/>
          <w:b/>
          <w:bCs/>
          <w:sz w:val="28"/>
          <w:szCs w:val="28"/>
        </w:rPr>
        <w:t>（一）概念内涵</w:t>
      </w:r>
    </w:p>
    <w:p w14:paraId="26E7E0F5">
      <w:pPr>
        <w:autoSpaceDE w:val="0"/>
        <w:autoSpaceDN w:val="0"/>
        <w:adjustRightInd w:val="0"/>
        <w:ind w:firstLine="560"/>
        <w:rPr>
          <w:rFonts w:ascii="Times New Roman" w:hAnsi="Times New Roman" w:eastAsia="仿宋_GB2312" w:cs="Times New Roman"/>
          <w:sz w:val="28"/>
          <w:szCs w:val="28"/>
          <w:lang w:val="zh-CN"/>
        </w:rPr>
      </w:pPr>
      <w:r>
        <w:rPr>
          <w:rFonts w:hint="eastAsia" w:ascii="Times New Roman" w:hAnsi="Times New Roman" w:eastAsia="仿宋_GB2312" w:cs="Times New Roman"/>
          <w:sz w:val="28"/>
          <w:szCs w:val="28"/>
          <w:lang w:val="zh-CN"/>
        </w:rPr>
        <w:t>1.区片综合地价。是依据土地原用途、土地资源条件、土地产值、土地区位、土地供求关系、人口以及经济社会发展水平等因素，综合测算的征收农用地的补偿标准（包括土地补偿费和安置补偿费，不包括被征收农民社会保障费用、征收农用地涉及的地上附着物和青苗等的补偿费用）。</w:t>
      </w:r>
    </w:p>
    <w:p w14:paraId="43804CED">
      <w:pPr>
        <w:autoSpaceDE w:val="0"/>
        <w:autoSpaceDN w:val="0"/>
        <w:adjustRightInd w:val="0"/>
        <w:ind w:firstLine="560"/>
        <w:rPr>
          <w:rFonts w:ascii="Times New Roman" w:hAnsi="Times New Roman" w:eastAsia="仿宋_GB2312" w:cs="Times New Roman"/>
          <w:sz w:val="28"/>
          <w:szCs w:val="28"/>
          <w:lang w:val="zh-CN"/>
        </w:rPr>
      </w:pPr>
      <w:r>
        <w:rPr>
          <w:rFonts w:hint="eastAsia" w:ascii="Times New Roman" w:hAnsi="Times New Roman" w:eastAsia="仿宋_GB2312" w:cs="Times New Roman"/>
          <w:sz w:val="28"/>
          <w:szCs w:val="28"/>
          <w:lang w:val="zh-CN"/>
        </w:rPr>
        <w:t>2.区片。是指一定范围内农用地条件基本一致，征地补偿标准相同的区域，是测算区片综合地价的基本单元。</w:t>
      </w:r>
    </w:p>
    <w:p w14:paraId="3DE9B4AE">
      <w:pPr>
        <w:numPr>
          <w:ilvl w:val="0"/>
          <w:numId w:val="1"/>
        </w:numPr>
        <w:ind w:firstLine="562" w:firstLineChars="200"/>
        <w:rPr>
          <w:rFonts w:ascii="Times New Roman" w:hAnsi="Times New Roman" w:cs="Times New Roman"/>
          <w:b/>
          <w:bCs/>
          <w:sz w:val="28"/>
          <w:szCs w:val="28"/>
        </w:rPr>
      </w:pPr>
      <w:r>
        <w:rPr>
          <w:rFonts w:hint="eastAsia" w:ascii="Times New Roman" w:hAnsi="Times New Roman" w:cs="Times New Roman"/>
          <w:b/>
          <w:bCs/>
          <w:sz w:val="28"/>
          <w:szCs w:val="28"/>
        </w:rPr>
        <w:t>覆盖范围</w:t>
      </w:r>
    </w:p>
    <w:p w14:paraId="5BDD4CCC">
      <w:pPr>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行政区内集体经济组织所有的农用地（土地分类和权属以“三调”土地分类和权属为基础）。具体测算不包括集体建设用地、未利用地。</w:t>
      </w:r>
    </w:p>
    <w:p w14:paraId="64201F90">
      <w:pPr>
        <w:numPr>
          <w:ilvl w:val="0"/>
          <w:numId w:val="1"/>
        </w:numPr>
        <w:ind w:firstLine="562" w:firstLineChars="200"/>
        <w:rPr>
          <w:rFonts w:ascii="Times New Roman" w:hAnsi="Times New Roman" w:cs="Times New Roman"/>
          <w:b/>
          <w:bCs/>
          <w:sz w:val="28"/>
          <w:szCs w:val="28"/>
        </w:rPr>
      </w:pPr>
      <w:r>
        <w:rPr>
          <w:rFonts w:hint="eastAsia" w:ascii="Times New Roman" w:hAnsi="Times New Roman" w:cs="Times New Roman"/>
          <w:b/>
          <w:bCs/>
          <w:sz w:val="28"/>
          <w:szCs w:val="28"/>
        </w:rPr>
        <w:t>区片分布</w:t>
      </w:r>
    </w:p>
    <w:p w14:paraId="104B056A">
      <w:pPr>
        <w:spacing w:line="360" w:lineRule="auto"/>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本轮测算的区片覆盖瑞丽市所有社区和行政村，分别为勐卯镇、畹町镇、弄岛镇、姐相乡、户育乡和勐秀乡，共7个社区、29个行政村。。</w:t>
      </w:r>
    </w:p>
    <w:p w14:paraId="4EF3B428">
      <w:pPr>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根据第三次</w:t>
      </w:r>
      <w:r>
        <w:rPr>
          <w:rFonts w:ascii="Times New Roman" w:hAnsi="Times New Roman" w:eastAsia="仿宋_GB2312" w:cs="Times New Roman"/>
          <w:sz w:val="28"/>
          <w:szCs w:val="28"/>
        </w:rPr>
        <w:t>国土调查</w:t>
      </w:r>
      <w:r>
        <w:rPr>
          <w:rFonts w:hint="eastAsia" w:ascii="Times New Roman" w:hAnsi="Times New Roman" w:eastAsia="仿宋_GB2312" w:cs="Times New Roman"/>
          <w:sz w:val="28"/>
          <w:szCs w:val="28"/>
        </w:rPr>
        <w:t>数据（上报版），区片覆盖瑞丽市农村集体经济组织农用地面积</w:t>
      </w:r>
      <w:r>
        <w:rPr>
          <w:rFonts w:ascii="Times New Roman" w:hAnsi="Times New Roman" w:eastAsia="仿宋_GB2312" w:cs="Times New Roman"/>
          <w:sz w:val="28"/>
          <w:szCs w:val="28"/>
        </w:rPr>
        <w:t>978120.17</w:t>
      </w:r>
      <w:r>
        <w:rPr>
          <w:rFonts w:hint="eastAsia" w:ascii="Times New Roman" w:hAnsi="Times New Roman" w:eastAsia="仿宋_GB2312" w:cs="Times New Roman"/>
          <w:sz w:val="28"/>
          <w:szCs w:val="28"/>
        </w:rPr>
        <w:t>亩。</w:t>
      </w:r>
    </w:p>
    <w:p w14:paraId="1A29775D">
      <w:pPr>
        <w:numPr>
          <w:ilvl w:val="0"/>
          <w:numId w:val="1"/>
        </w:numPr>
        <w:spacing w:line="560" w:lineRule="exact"/>
        <w:ind w:firstLine="562" w:firstLineChars="200"/>
        <w:rPr>
          <w:rFonts w:ascii="Times New Roman" w:hAnsi="Times New Roman" w:cs="Times New Roman"/>
          <w:b/>
          <w:bCs/>
          <w:sz w:val="28"/>
          <w:szCs w:val="28"/>
        </w:rPr>
      </w:pPr>
      <w:r>
        <w:rPr>
          <w:rFonts w:hint="eastAsia" w:ascii="Times New Roman" w:hAnsi="Times New Roman" w:cs="Times New Roman"/>
          <w:b/>
          <w:bCs/>
          <w:sz w:val="28"/>
          <w:szCs w:val="28"/>
        </w:rPr>
        <w:t>基准时点</w:t>
      </w:r>
    </w:p>
    <w:p w14:paraId="6D535EED">
      <w:pPr>
        <w:spacing w:line="560" w:lineRule="exact"/>
        <w:ind w:firstLine="560" w:firstLineChars="200"/>
        <w:outlineLvl w:val="1"/>
        <w:rPr>
          <w:rFonts w:ascii="Times New Roman" w:hAnsi="Times New Roman" w:eastAsia="仿宋_GB2312" w:cs="Times New Roman"/>
          <w:sz w:val="28"/>
          <w:szCs w:val="28"/>
          <w:lang w:val="zh-CN"/>
        </w:rPr>
      </w:pPr>
      <w:r>
        <w:rPr>
          <w:rFonts w:hint="eastAsia" w:ascii="Times New Roman" w:hAnsi="Times New Roman" w:eastAsia="仿宋_GB2312" w:cs="Times New Roman"/>
          <w:sz w:val="28"/>
          <w:szCs w:val="28"/>
        </w:rPr>
        <w:t>根据</w:t>
      </w:r>
      <w:r>
        <w:rPr>
          <w:rFonts w:hint="eastAsia" w:ascii="Times New Roman" w:hAnsi="Times New Roman" w:eastAsia="仿宋_GB2312" w:cs="Times New Roman"/>
          <w:sz w:val="28"/>
          <w:szCs w:val="28"/>
          <w:lang w:val="zh-CN"/>
        </w:rPr>
        <w:t>《云南省征收农用地区片综合地价技术方案》</w:t>
      </w:r>
      <w:r>
        <w:rPr>
          <w:rFonts w:hint="eastAsia" w:ascii="Times New Roman" w:hAnsi="Times New Roman" w:eastAsia="仿宋_GB2312" w:cs="Times New Roman"/>
          <w:sz w:val="28"/>
          <w:szCs w:val="28"/>
        </w:rPr>
        <w:t>确定征地区片综合地价基准时点为</w:t>
      </w:r>
      <w:r>
        <w:rPr>
          <w:rFonts w:ascii="Times New Roman" w:hAnsi="Times New Roman" w:eastAsia="仿宋_GB2312" w:cs="Times New Roman"/>
          <w:sz w:val="28"/>
          <w:szCs w:val="28"/>
          <w:lang w:val="zh-CN"/>
        </w:rPr>
        <w:t>20</w:t>
      </w:r>
      <w:r>
        <w:rPr>
          <w:rFonts w:hint="eastAsia" w:ascii="Times New Roman" w:hAnsi="Times New Roman" w:eastAsia="仿宋_GB2312" w:cs="Times New Roman"/>
          <w:sz w:val="28"/>
          <w:szCs w:val="28"/>
          <w:lang w:val="zh-CN"/>
        </w:rPr>
        <w:t>19年</w:t>
      </w:r>
      <w:r>
        <w:rPr>
          <w:rFonts w:ascii="Times New Roman" w:hAnsi="Times New Roman" w:eastAsia="仿宋_GB2312" w:cs="Times New Roman"/>
          <w:sz w:val="28"/>
          <w:szCs w:val="28"/>
          <w:lang w:val="zh-CN"/>
        </w:rPr>
        <w:t>1</w:t>
      </w:r>
      <w:r>
        <w:rPr>
          <w:rFonts w:hint="eastAsia" w:ascii="Times New Roman" w:hAnsi="Times New Roman" w:eastAsia="仿宋_GB2312" w:cs="Times New Roman"/>
          <w:sz w:val="28"/>
          <w:szCs w:val="28"/>
          <w:lang w:val="zh-CN"/>
        </w:rPr>
        <w:t>月</w:t>
      </w:r>
      <w:r>
        <w:rPr>
          <w:rFonts w:ascii="Times New Roman" w:hAnsi="Times New Roman" w:eastAsia="仿宋_GB2312" w:cs="Times New Roman"/>
          <w:sz w:val="28"/>
          <w:szCs w:val="28"/>
          <w:lang w:val="zh-CN"/>
        </w:rPr>
        <w:t>1</w:t>
      </w:r>
      <w:r>
        <w:rPr>
          <w:rFonts w:hint="eastAsia" w:ascii="Times New Roman" w:hAnsi="Times New Roman" w:eastAsia="仿宋_GB2312" w:cs="Times New Roman"/>
          <w:sz w:val="28"/>
          <w:szCs w:val="28"/>
          <w:lang w:val="zh-CN"/>
        </w:rPr>
        <w:t>日。</w:t>
      </w:r>
    </w:p>
    <w:bookmarkEnd w:id="0"/>
    <w:bookmarkEnd w:id="1"/>
    <w:bookmarkEnd w:id="2"/>
    <w:p w14:paraId="64216D8E">
      <w:pPr>
        <w:numPr>
          <w:ilvl w:val="0"/>
          <w:numId w:val="1"/>
        </w:numPr>
        <w:spacing w:line="560" w:lineRule="exact"/>
        <w:ind w:firstLine="562" w:firstLineChars="200"/>
        <w:rPr>
          <w:rFonts w:ascii="Times New Roman" w:hAnsi="Times New Roman" w:cs="Times New Roman"/>
          <w:b/>
          <w:bCs/>
          <w:sz w:val="28"/>
          <w:szCs w:val="28"/>
        </w:rPr>
      </w:pPr>
      <w:r>
        <w:rPr>
          <w:rFonts w:hint="eastAsia" w:ascii="Times New Roman" w:hAnsi="Times New Roman" w:cs="Times New Roman"/>
          <w:b/>
          <w:bCs/>
          <w:sz w:val="28"/>
          <w:szCs w:val="28"/>
        </w:rPr>
        <w:t>技术方法</w:t>
      </w:r>
    </w:p>
    <w:p w14:paraId="3252DE77">
      <w:pPr>
        <w:pStyle w:val="22"/>
        <w:numPr>
          <w:ilvl w:val="0"/>
          <w:numId w:val="2"/>
        </w:numPr>
        <w:spacing w:line="560" w:lineRule="exact"/>
        <w:ind w:firstLineChars="0"/>
        <w:outlineLvl w:val="1"/>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区片划分</w:t>
      </w:r>
    </w:p>
    <w:p w14:paraId="49A07D0D">
      <w:pPr>
        <w:spacing w:line="560" w:lineRule="exact"/>
        <w:ind w:firstLine="560" w:firstLineChars="200"/>
        <w:outlineLvl w:val="1"/>
        <w:rPr>
          <w:rFonts w:ascii="Times New Roman" w:hAnsi="Times New Roman" w:eastAsia="仿宋_GB2312" w:cs="Times New Roman"/>
          <w:sz w:val="28"/>
          <w:szCs w:val="28"/>
        </w:rPr>
      </w:pPr>
      <w:r>
        <w:rPr>
          <w:rFonts w:ascii="Times New Roman" w:hAnsi="Times New Roman" w:eastAsia="仿宋_GB2312" w:cs="Times New Roman"/>
          <w:sz w:val="28"/>
          <w:szCs w:val="28"/>
        </w:rPr>
        <w:t>根据《</w:t>
      </w:r>
      <w:r>
        <w:rPr>
          <w:rFonts w:hint="eastAsia" w:ascii="Times New Roman" w:hAnsi="Times New Roman" w:eastAsia="仿宋_GB2312" w:cs="Times New Roman"/>
          <w:sz w:val="28"/>
          <w:szCs w:val="28"/>
        </w:rPr>
        <w:t>云南</w:t>
      </w:r>
      <w:r>
        <w:rPr>
          <w:rFonts w:ascii="Times New Roman" w:hAnsi="Times New Roman" w:eastAsia="仿宋_GB2312" w:cs="Times New Roman"/>
          <w:sz w:val="28"/>
          <w:szCs w:val="28"/>
        </w:rPr>
        <w:t>省征收农用地区片综合地价技术方案》的要求，以行政村为基本单元，根据土地资源条件、土地区位、人口和经济社会发展水平</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土地供求关系等因素建立评价指标体系</w:t>
      </w:r>
      <w:r>
        <w:rPr>
          <w:rFonts w:hint="eastAsia" w:ascii="Times New Roman" w:hAnsi="Times New Roman" w:eastAsia="仿宋_GB2312" w:cs="Times New Roman"/>
          <w:sz w:val="28"/>
          <w:szCs w:val="28"/>
        </w:rPr>
        <w:t>，采用多因素综合评价法对各行政村进行综合评价，再对分值相近的相邻行政村进行归并和调整，最终划定区片范围。</w:t>
      </w:r>
    </w:p>
    <w:p w14:paraId="77A662C6">
      <w:pPr>
        <w:pStyle w:val="22"/>
        <w:numPr>
          <w:ilvl w:val="0"/>
          <w:numId w:val="2"/>
        </w:numPr>
        <w:spacing w:line="560" w:lineRule="exact"/>
        <w:ind w:firstLineChars="0"/>
        <w:outlineLvl w:val="1"/>
        <w:rPr>
          <w:rFonts w:ascii="Times New Roman" w:hAnsi="Times New Roman" w:eastAsia="仿宋_GB2312" w:cs="Times New Roman"/>
          <w:sz w:val="28"/>
          <w:szCs w:val="28"/>
          <w:lang w:val="zh-CN"/>
        </w:rPr>
      </w:pPr>
      <w:r>
        <w:rPr>
          <w:rFonts w:hint="eastAsia" w:ascii="Times New Roman" w:hAnsi="Times New Roman" w:eastAsia="仿宋_GB2312" w:cs="Times New Roman"/>
          <w:sz w:val="28"/>
          <w:szCs w:val="28"/>
        </w:rPr>
        <w:t>综合地价测算</w:t>
      </w:r>
    </w:p>
    <w:p w14:paraId="2C9F3A81">
      <w:pPr>
        <w:spacing w:line="560" w:lineRule="exact"/>
        <w:ind w:firstLine="560" w:firstLineChars="200"/>
        <w:outlineLvl w:val="1"/>
        <w:rPr>
          <w:rFonts w:ascii="Times New Roman" w:hAnsi="Times New Roman" w:eastAsia="仿宋_GB2312" w:cs="Times New Roman"/>
          <w:sz w:val="28"/>
          <w:szCs w:val="28"/>
        </w:rPr>
      </w:pPr>
      <w:r>
        <w:rPr>
          <w:rFonts w:ascii="Times New Roman" w:hAnsi="Times New Roman" w:eastAsia="仿宋_GB2312" w:cs="Times New Roman"/>
          <w:sz w:val="28"/>
          <w:szCs w:val="28"/>
        </w:rPr>
        <w:t>本次测算采用</w:t>
      </w:r>
      <w:r>
        <w:rPr>
          <w:rFonts w:hint="eastAsia" w:ascii="Times New Roman" w:hAnsi="Times New Roman" w:eastAsia="仿宋_GB2312" w:cs="Times New Roman"/>
          <w:sz w:val="28"/>
          <w:szCs w:val="28"/>
        </w:rPr>
        <w:t>农用地</w:t>
      </w:r>
      <w:r>
        <w:rPr>
          <w:rFonts w:ascii="Times New Roman" w:hAnsi="Times New Roman" w:eastAsia="仿宋_GB2312" w:cs="Times New Roman"/>
          <w:sz w:val="28"/>
          <w:szCs w:val="28"/>
        </w:rPr>
        <w:t>产值修正法和征地案例比较进行测算各区片综合地价。</w:t>
      </w:r>
    </w:p>
    <w:p w14:paraId="2A1753D3">
      <w:pPr>
        <w:spacing w:line="560" w:lineRule="exact"/>
        <w:ind w:firstLine="600" w:firstLineChars="200"/>
        <w:outlineLvl w:val="1"/>
        <w:rPr>
          <w:rFonts w:eastAsia="仿宋_GB2312"/>
          <w:sz w:val="30"/>
          <w:szCs w:val="30"/>
        </w:rPr>
      </w:pPr>
      <w:r>
        <w:rPr>
          <w:rFonts w:hint="eastAsia" w:eastAsia="仿宋_GB2312"/>
          <w:sz w:val="30"/>
          <w:szCs w:val="30"/>
        </w:rPr>
        <w:t>农用地产值修正法是将未来农用地预期产值还原到当期，结合被征地农用安置需要，综合考虑土地区位、土地供求关系、人口以及经济社会发展水平等因素进行修正后测算区片综合地价的方法。</w:t>
      </w:r>
    </w:p>
    <w:p w14:paraId="7EA75BC9">
      <w:pPr>
        <w:spacing w:line="560" w:lineRule="exact"/>
        <w:ind w:firstLine="560" w:firstLineChars="200"/>
        <w:outlineLvl w:val="1"/>
        <w:rPr>
          <w:rFonts w:ascii="Times New Roman" w:hAnsi="Times New Roman" w:eastAsia="仿宋_GB2312" w:cs="Times New Roman"/>
          <w:sz w:val="28"/>
          <w:szCs w:val="28"/>
        </w:rPr>
      </w:pPr>
      <w:r>
        <w:rPr>
          <w:rFonts w:ascii="Times New Roman" w:hAnsi="Times New Roman" w:eastAsia="仿宋_GB2312" w:cs="Times New Roman"/>
          <w:sz w:val="28"/>
          <w:szCs w:val="28"/>
        </w:rPr>
        <w:t>征地案例比较测算法是根据本区片实施征地案例的实际补偿水平</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进行比较测算区片综合地价</w:t>
      </w:r>
      <w:r>
        <w:rPr>
          <w:rFonts w:hint="eastAsia" w:ascii="Times New Roman" w:hAnsi="Times New Roman" w:eastAsia="仿宋_GB2312" w:cs="Times New Roman"/>
          <w:sz w:val="28"/>
          <w:szCs w:val="28"/>
        </w:rPr>
        <w:t>。</w:t>
      </w:r>
    </w:p>
    <w:p w14:paraId="38B73C0B">
      <w:pPr>
        <w:pStyle w:val="22"/>
        <w:numPr>
          <w:ilvl w:val="0"/>
          <w:numId w:val="2"/>
        </w:numPr>
        <w:spacing w:line="560" w:lineRule="exact"/>
        <w:ind w:firstLineChars="0"/>
        <w:outlineLvl w:val="1"/>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综合地价确定</w:t>
      </w:r>
    </w:p>
    <w:p w14:paraId="06D8E5D8">
      <w:pPr>
        <w:spacing w:line="560" w:lineRule="exact"/>
        <w:ind w:firstLine="560" w:firstLineChars="200"/>
        <w:outlineLvl w:val="1"/>
        <w:rPr>
          <w:rFonts w:ascii="Times New Roman" w:hAnsi="Times New Roman" w:eastAsia="仿宋_GB2312" w:cs="Times New Roman"/>
          <w:sz w:val="28"/>
          <w:szCs w:val="28"/>
        </w:rPr>
      </w:pPr>
      <w:r>
        <w:rPr>
          <w:rFonts w:ascii="Times New Roman" w:hAnsi="Times New Roman" w:eastAsia="仿宋_GB2312" w:cs="Times New Roman"/>
          <w:sz w:val="28"/>
          <w:szCs w:val="28"/>
        </w:rPr>
        <w:t>本次测算采用农地价格因素修正法和征地案例比较测算法，经对上述测算方法结果的综合分析，两种方法结果差异较小，采用两种方法结果的简单算术平均值确定。</w:t>
      </w:r>
    </w:p>
    <w:p w14:paraId="190222C3"/>
    <w:p w14:paraId="0E5180B8">
      <w:pPr>
        <w:spacing w:line="360" w:lineRule="auto"/>
        <w:outlineLvl w:val="1"/>
        <w:rPr>
          <w:rFonts w:ascii="Times New Roman" w:hAnsi="Times New Roman" w:eastAsia="仿宋_GB2312" w:cs="Times New Roman"/>
          <w:sz w:val="28"/>
          <w:szCs w:val="28"/>
        </w:rPr>
        <w:sectPr>
          <w:headerReference r:id="rId4" w:type="default"/>
          <w:footerReference r:id="rId5" w:type="default"/>
          <w:pgSz w:w="11906" w:h="16838"/>
          <w:pgMar w:top="1417" w:right="1247" w:bottom="1417" w:left="1587" w:header="851" w:footer="992" w:gutter="0"/>
          <w:pgNumType w:start="1"/>
          <w:cols w:space="0" w:num="1"/>
          <w:docGrid w:type="lines" w:linePitch="312" w:charSpace="0"/>
        </w:sectPr>
      </w:pPr>
    </w:p>
    <w:p w14:paraId="66DF0F6C">
      <w:pPr>
        <w:spacing w:line="360" w:lineRule="auto"/>
        <w:outlineLvl w:val="0"/>
        <w:rPr>
          <w:rFonts w:ascii="Times New Roman" w:hAnsi="Times New Roman" w:eastAsia="黑体" w:cs="Times New Roman"/>
          <w:b/>
          <w:bCs/>
          <w:sz w:val="30"/>
          <w:szCs w:val="30"/>
        </w:rPr>
      </w:pPr>
      <w:bookmarkStart w:id="3" w:name="_Toc29519"/>
      <w:bookmarkStart w:id="4" w:name="_Toc28349"/>
      <w:bookmarkStart w:id="5" w:name="_Toc26440"/>
      <w:r>
        <w:rPr>
          <w:rFonts w:hint="eastAsia" w:ascii="Times New Roman" w:hAnsi="Times New Roman" w:eastAsia="黑体" w:cs="Times New Roman"/>
          <w:b/>
          <w:bCs/>
          <w:sz w:val="30"/>
          <w:szCs w:val="30"/>
        </w:rPr>
        <w:t>三、征地区片综合地价表</w:t>
      </w:r>
      <w:bookmarkEnd w:id="3"/>
      <w:bookmarkEnd w:id="4"/>
      <w:bookmarkEnd w:id="5"/>
    </w:p>
    <w:p w14:paraId="3822D135">
      <w:pPr>
        <w:autoSpaceDE w:val="0"/>
        <w:autoSpaceDN w:val="0"/>
        <w:adjustRightInd w:val="0"/>
        <w:jc w:val="center"/>
        <w:rPr>
          <w:rFonts w:ascii="仿宋_GB2312" w:eastAsia="仿宋_GB2312" w:cs="仿宋_GB2312"/>
          <w:b/>
          <w:bCs/>
          <w:sz w:val="28"/>
          <w:szCs w:val="28"/>
          <w:lang w:val="zh-CN"/>
        </w:rPr>
      </w:pPr>
      <w:bookmarkStart w:id="6" w:name="_Toc3725"/>
      <w:bookmarkStart w:id="7" w:name="_Toc28252"/>
      <w:bookmarkStart w:id="8" w:name="_Toc16474"/>
      <w:r>
        <w:rPr>
          <w:rFonts w:hint="eastAsia" w:ascii="仿宋_GB2312" w:eastAsia="仿宋_GB2312" w:cs="仿宋_GB2312"/>
          <w:b/>
          <w:bCs/>
          <w:sz w:val="28"/>
          <w:szCs w:val="28"/>
        </w:rPr>
        <w:t>表1 瑞丽市</w:t>
      </w:r>
      <w:r>
        <w:rPr>
          <w:rFonts w:hint="eastAsia" w:ascii="仿宋_GB2312" w:eastAsia="仿宋_GB2312" w:cs="仿宋_GB2312"/>
          <w:b/>
          <w:bCs/>
          <w:sz w:val="28"/>
          <w:szCs w:val="28"/>
          <w:lang w:val="zh-CN"/>
        </w:rPr>
        <w:t>征地区片综合地价结果表</w:t>
      </w:r>
    </w:p>
    <w:p w14:paraId="1E280D4D">
      <w:pPr>
        <w:autoSpaceDE w:val="0"/>
        <w:autoSpaceDN w:val="0"/>
        <w:adjustRightInd w:val="0"/>
        <w:jc w:val="right"/>
        <w:rPr>
          <w:rFonts w:ascii="仿宋_GB2312" w:eastAsia="楷体_GB2312" w:cs="仿宋_GB2312"/>
          <w:szCs w:val="21"/>
        </w:rPr>
      </w:pPr>
      <w:r>
        <w:rPr>
          <w:rFonts w:hint="eastAsia" w:ascii="楷体_GB2312" w:eastAsia="楷体_GB2312" w:cs="楷体_GB2312"/>
          <w:szCs w:val="21"/>
          <w:lang w:val="zh-CN"/>
        </w:rPr>
        <w:t>单位：元</w:t>
      </w:r>
      <w:r>
        <w:rPr>
          <w:rFonts w:eastAsia="楷体_GB2312"/>
          <w:szCs w:val="21"/>
        </w:rPr>
        <w:t>/</w:t>
      </w:r>
      <w:r>
        <w:rPr>
          <w:rFonts w:hint="eastAsia" w:ascii="楷体_GB2312" w:eastAsia="楷体_GB2312" w:cs="楷体_GB2312"/>
          <w:szCs w:val="21"/>
          <w:lang w:val="zh-CN"/>
        </w:rPr>
        <w:t>亩</w:t>
      </w:r>
    </w:p>
    <w:tbl>
      <w:tblPr>
        <w:tblStyle w:val="10"/>
        <w:tblW w:w="13960" w:type="dxa"/>
        <w:tblInd w:w="94" w:type="dxa"/>
        <w:tblLayout w:type="autofit"/>
        <w:tblCellMar>
          <w:top w:w="0" w:type="dxa"/>
          <w:left w:w="108" w:type="dxa"/>
          <w:bottom w:w="0" w:type="dxa"/>
          <w:right w:w="108" w:type="dxa"/>
        </w:tblCellMar>
      </w:tblPr>
      <w:tblGrid>
        <w:gridCol w:w="865"/>
        <w:gridCol w:w="6237"/>
        <w:gridCol w:w="1134"/>
        <w:gridCol w:w="1134"/>
        <w:gridCol w:w="1276"/>
        <w:gridCol w:w="1275"/>
        <w:gridCol w:w="1134"/>
        <w:gridCol w:w="905"/>
      </w:tblGrid>
      <w:tr w14:paraId="0F3F6ED4">
        <w:tblPrEx>
          <w:tblCellMar>
            <w:top w:w="0" w:type="dxa"/>
            <w:left w:w="108" w:type="dxa"/>
            <w:bottom w:w="0" w:type="dxa"/>
            <w:right w:w="108" w:type="dxa"/>
          </w:tblCellMar>
        </w:tblPrEx>
        <w:trPr>
          <w:trHeight w:val="585" w:hRule="atLeast"/>
        </w:trPr>
        <w:tc>
          <w:tcPr>
            <w:tcW w:w="865"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14:paraId="274C879A">
            <w:pPr>
              <w:widowControl/>
              <w:jc w:val="center"/>
              <w:rPr>
                <w:rFonts w:ascii="Times New Roman" w:hAnsi="Times New Roman" w:cs="Times New Roman"/>
                <w:kern w:val="0"/>
                <w:szCs w:val="21"/>
              </w:rPr>
            </w:pPr>
            <w:r>
              <w:rPr>
                <w:rFonts w:hint="eastAsia" w:ascii="宋体" w:hAnsi="宋体" w:cs="Times New Roman"/>
                <w:kern w:val="0"/>
                <w:szCs w:val="21"/>
              </w:rPr>
              <w:t>区片编号</w:t>
            </w:r>
          </w:p>
        </w:tc>
        <w:tc>
          <w:tcPr>
            <w:tcW w:w="6237"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5334FDA1">
            <w:pPr>
              <w:widowControl/>
              <w:jc w:val="center"/>
              <w:rPr>
                <w:rFonts w:ascii="Times New Roman" w:hAnsi="Times New Roman" w:cs="Times New Roman"/>
                <w:kern w:val="0"/>
                <w:szCs w:val="21"/>
              </w:rPr>
            </w:pPr>
            <w:r>
              <w:rPr>
                <w:rFonts w:hint="eastAsia" w:ascii="宋体" w:hAnsi="宋体" w:cs="Times New Roman"/>
                <w:kern w:val="0"/>
                <w:szCs w:val="21"/>
              </w:rPr>
              <w:t>区片范围描述</w:t>
            </w:r>
          </w:p>
        </w:tc>
        <w:tc>
          <w:tcPr>
            <w:tcW w:w="1134"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5C5FD3FB">
            <w:pPr>
              <w:widowControl/>
              <w:jc w:val="center"/>
              <w:rPr>
                <w:rFonts w:ascii="宋体" w:hAnsi="宋体"/>
                <w:kern w:val="0"/>
                <w:szCs w:val="21"/>
              </w:rPr>
            </w:pPr>
            <w:r>
              <w:rPr>
                <w:rFonts w:hint="eastAsia" w:ascii="宋体" w:hAnsi="宋体"/>
                <w:kern w:val="0"/>
                <w:szCs w:val="21"/>
              </w:rPr>
              <w:t>测算单元（行政区个数）</w:t>
            </w:r>
          </w:p>
        </w:tc>
        <w:tc>
          <w:tcPr>
            <w:tcW w:w="1134"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14:paraId="61B0226C">
            <w:pPr>
              <w:widowControl/>
              <w:jc w:val="center"/>
              <w:rPr>
                <w:rFonts w:ascii="宋体" w:hAnsi="宋体"/>
                <w:kern w:val="0"/>
                <w:szCs w:val="21"/>
              </w:rPr>
            </w:pPr>
            <w:r>
              <w:rPr>
                <w:rFonts w:hint="eastAsia" w:ascii="宋体" w:hAnsi="宋体"/>
                <w:kern w:val="0"/>
                <w:szCs w:val="21"/>
              </w:rPr>
              <w:t>涉及人口(万人)</w:t>
            </w:r>
          </w:p>
        </w:tc>
        <w:tc>
          <w:tcPr>
            <w:tcW w:w="4590" w:type="dxa"/>
            <w:gridSpan w:val="4"/>
            <w:tcBorders>
              <w:top w:val="single" w:color="auto" w:sz="4" w:space="0"/>
              <w:left w:val="nil"/>
              <w:bottom w:val="single" w:color="auto" w:sz="4" w:space="0"/>
              <w:right w:val="single" w:color="000000" w:sz="4" w:space="0"/>
            </w:tcBorders>
            <w:shd w:val="clear" w:color="auto" w:fill="auto"/>
            <w:noWrap/>
            <w:vAlign w:val="center"/>
          </w:tcPr>
          <w:p w14:paraId="716E5ADF">
            <w:pPr>
              <w:widowControl/>
              <w:jc w:val="center"/>
              <w:rPr>
                <w:rFonts w:ascii="Times New Roman" w:hAnsi="Times New Roman" w:cs="Times New Roman"/>
                <w:kern w:val="0"/>
                <w:szCs w:val="21"/>
              </w:rPr>
            </w:pPr>
            <w:r>
              <w:rPr>
                <w:rFonts w:hint="eastAsia" w:ascii="宋体" w:hAnsi="宋体" w:cs="Times New Roman"/>
                <w:kern w:val="0"/>
                <w:szCs w:val="21"/>
              </w:rPr>
              <w:t>区片综合地价</w:t>
            </w:r>
          </w:p>
        </w:tc>
      </w:tr>
      <w:tr w14:paraId="21D71623">
        <w:tblPrEx>
          <w:tblCellMar>
            <w:top w:w="0" w:type="dxa"/>
            <w:left w:w="108" w:type="dxa"/>
            <w:bottom w:w="0" w:type="dxa"/>
            <w:right w:w="108" w:type="dxa"/>
          </w:tblCellMar>
        </w:tblPrEx>
        <w:trPr>
          <w:trHeight w:val="300" w:hRule="atLeast"/>
        </w:trPr>
        <w:tc>
          <w:tcPr>
            <w:tcW w:w="865" w:type="dxa"/>
            <w:vMerge w:val="continue"/>
            <w:tcBorders>
              <w:top w:val="single" w:color="auto" w:sz="4" w:space="0"/>
              <w:left w:val="single" w:color="auto" w:sz="4" w:space="0"/>
              <w:bottom w:val="single" w:color="000000" w:sz="4" w:space="0"/>
              <w:right w:val="single" w:color="auto" w:sz="4" w:space="0"/>
            </w:tcBorders>
            <w:vAlign w:val="center"/>
          </w:tcPr>
          <w:p w14:paraId="1CE0DF47">
            <w:pPr>
              <w:widowControl/>
              <w:jc w:val="center"/>
              <w:rPr>
                <w:rFonts w:ascii="Times New Roman" w:hAnsi="Times New Roman" w:cs="Times New Roman"/>
                <w:kern w:val="0"/>
                <w:szCs w:val="21"/>
              </w:rPr>
            </w:pPr>
          </w:p>
        </w:tc>
        <w:tc>
          <w:tcPr>
            <w:tcW w:w="6237" w:type="dxa"/>
            <w:vMerge w:val="continue"/>
            <w:tcBorders>
              <w:top w:val="single" w:color="auto" w:sz="4" w:space="0"/>
              <w:left w:val="single" w:color="auto" w:sz="4" w:space="0"/>
              <w:bottom w:val="single" w:color="000000" w:sz="4" w:space="0"/>
              <w:right w:val="single" w:color="auto" w:sz="4" w:space="0"/>
            </w:tcBorders>
            <w:vAlign w:val="center"/>
          </w:tcPr>
          <w:p w14:paraId="6FD2FDF3">
            <w:pPr>
              <w:widowControl/>
              <w:jc w:val="center"/>
              <w:rPr>
                <w:rFonts w:ascii="Times New Roman" w:hAnsi="Times New Roman" w:cs="Times New Roman"/>
                <w:kern w:val="0"/>
                <w:szCs w:val="21"/>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14:paraId="054E2648">
            <w:pPr>
              <w:widowControl/>
              <w:jc w:val="center"/>
              <w:rPr>
                <w:rFonts w:ascii="宋体" w:hAnsi="宋体"/>
                <w:kern w:val="0"/>
                <w:szCs w:val="21"/>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14:paraId="03852461">
            <w:pPr>
              <w:widowControl/>
              <w:jc w:val="center"/>
              <w:rPr>
                <w:rFonts w:ascii="宋体" w:hAnsi="宋体"/>
                <w:kern w:val="0"/>
                <w:szCs w:val="21"/>
              </w:rPr>
            </w:pPr>
          </w:p>
        </w:tc>
        <w:tc>
          <w:tcPr>
            <w:tcW w:w="1276" w:type="dxa"/>
            <w:vMerge w:val="restart"/>
            <w:tcBorders>
              <w:top w:val="nil"/>
              <w:left w:val="single" w:color="auto" w:sz="4" w:space="0"/>
              <w:bottom w:val="single" w:color="000000" w:sz="4" w:space="0"/>
              <w:right w:val="single" w:color="auto" w:sz="4" w:space="0"/>
            </w:tcBorders>
            <w:shd w:val="clear" w:color="auto" w:fill="auto"/>
            <w:noWrap/>
            <w:vAlign w:val="center"/>
          </w:tcPr>
          <w:p w14:paraId="4B2A4EE1">
            <w:pPr>
              <w:widowControl/>
              <w:jc w:val="center"/>
              <w:rPr>
                <w:rFonts w:ascii="Times New Roman" w:hAnsi="Times New Roman" w:cs="Times New Roman"/>
                <w:kern w:val="0"/>
                <w:szCs w:val="21"/>
              </w:rPr>
            </w:pPr>
            <w:r>
              <w:rPr>
                <w:rFonts w:hint="eastAsia" w:ascii="宋体" w:hAnsi="宋体" w:cs="Times New Roman"/>
                <w:kern w:val="0"/>
                <w:szCs w:val="21"/>
              </w:rPr>
              <w:t>测算面积</w:t>
            </w:r>
          </w:p>
        </w:tc>
        <w:tc>
          <w:tcPr>
            <w:tcW w:w="1275" w:type="dxa"/>
            <w:vMerge w:val="restart"/>
            <w:tcBorders>
              <w:top w:val="nil"/>
              <w:left w:val="single" w:color="auto" w:sz="4" w:space="0"/>
              <w:bottom w:val="single" w:color="000000" w:sz="4" w:space="0"/>
              <w:right w:val="single" w:color="auto" w:sz="4" w:space="0"/>
            </w:tcBorders>
            <w:shd w:val="clear" w:color="auto" w:fill="auto"/>
            <w:noWrap/>
            <w:vAlign w:val="center"/>
          </w:tcPr>
          <w:p w14:paraId="3CC21D23">
            <w:pPr>
              <w:widowControl/>
              <w:jc w:val="center"/>
              <w:rPr>
                <w:rFonts w:ascii="Times New Roman" w:hAnsi="Times New Roman" w:cs="Times New Roman"/>
                <w:kern w:val="0"/>
                <w:szCs w:val="21"/>
              </w:rPr>
            </w:pPr>
            <w:r>
              <w:rPr>
                <w:rFonts w:hint="eastAsia" w:ascii="宋体" w:hAnsi="宋体" w:cs="Times New Roman"/>
                <w:kern w:val="0"/>
                <w:szCs w:val="21"/>
              </w:rPr>
              <w:t>区片标准</w:t>
            </w:r>
          </w:p>
        </w:tc>
        <w:tc>
          <w:tcPr>
            <w:tcW w:w="2039" w:type="dxa"/>
            <w:gridSpan w:val="2"/>
            <w:tcBorders>
              <w:top w:val="single" w:color="auto" w:sz="4" w:space="0"/>
              <w:left w:val="nil"/>
              <w:bottom w:val="single" w:color="auto" w:sz="4" w:space="0"/>
              <w:right w:val="single" w:color="000000" w:sz="4" w:space="0"/>
            </w:tcBorders>
            <w:shd w:val="clear" w:color="auto" w:fill="auto"/>
            <w:noWrap/>
            <w:vAlign w:val="center"/>
          </w:tcPr>
          <w:p w14:paraId="64F3E9DB">
            <w:pPr>
              <w:widowControl/>
              <w:jc w:val="center"/>
              <w:rPr>
                <w:rFonts w:ascii="Times New Roman" w:hAnsi="Times New Roman" w:cs="Times New Roman"/>
                <w:kern w:val="0"/>
                <w:szCs w:val="21"/>
              </w:rPr>
            </w:pPr>
            <w:r>
              <w:rPr>
                <w:rFonts w:hint="eastAsia" w:ascii="宋体" w:hAnsi="宋体" w:cs="Times New Roman"/>
                <w:kern w:val="0"/>
                <w:szCs w:val="21"/>
              </w:rPr>
              <w:t>其中</w:t>
            </w:r>
          </w:p>
        </w:tc>
      </w:tr>
      <w:tr w14:paraId="2975F2A0">
        <w:tblPrEx>
          <w:tblCellMar>
            <w:top w:w="0" w:type="dxa"/>
            <w:left w:w="108" w:type="dxa"/>
            <w:bottom w:w="0" w:type="dxa"/>
            <w:right w:w="108" w:type="dxa"/>
          </w:tblCellMar>
        </w:tblPrEx>
        <w:trPr>
          <w:trHeight w:val="570" w:hRule="atLeast"/>
        </w:trPr>
        <w:tc>
          <w:tcPr>
            <w:tcW w:w="865" w:type="dxa"/>
            <w:vMerge w:val="continue"/>
            <w:tcBorders>
              <w:top w:val="single" w:color="auto" w:sz="4" w:space="0"/>
              <w:left w:val="single" w:color="auto" w:sz="4" w:space="0"/>
              <w:bottom w:val="single" w:color="000000" w:sz="4" w:space="0"/>
              <w:right w:val="single" w:color="auto" w:sz="4" w:space="0"/>
            </w:tcBorders>
            <w:vAlign w:val="center"/>
          </w:tcPr>
          <w:p w14:paraId="24E13069">
            <w:pPr>
              <w:widowControl/>
              <w:jc w:val="center"/>
              <w:rPr>
                <w:rFonts w:ascii="Times New Roman" w:hAnsi="Times New Roman" w:cs="Times New Roman"/>
                <w:kern w:val="0"/>
                <w:szCs w:val="21"/>
              </w:rPr>
            </w:pPr>
          </w:p>
        </w:tc>
        <w:tc>
          <w:tcPr>
            <w:tcW w:w="6237" w:type="dxa"/>
            <w:vMerge w:val="continue"/>
            <w:tcBorders>
              <w:top w:val="single" w:color="auto" w:sz="4" w:space="0"/>
              <w:left w:val="single" w:color="auto" w:sz="4" w:space="0"/>
              <w:bottom w:val="single" w:color="000000" w:sz="4" w:space="0"/>
              <w:right w:val="single" w:color="auto" w:sz="4" w:space="0"/>
            </w:tcBorders>
            <w:vAlign w:val="center"/>
          </w:tcPr>
          <w:p w14:paraId="1332F0A7">
            <w:pPr>
              <w:widowControl/>
              <w:jc w:val="center"/>
              <w:rPr>
                <w:rFonts w:ascii="Times New Roman" w:hAnsi="Times New Roman" w:cs="Times New Roman"/>
                <w:kern w:val="0"/>
                <w:szCs w:val="21"/>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14:paraId="42028FD5">
            <w:pPr>
              <w:widowControl/>
              <w:jc w:val="center"/>
              <w:rPr>
                <w:rFonts w:ascii="宋体" w:hAnsi="宋体"/>
                <w:kern w:val="0"/>
                <w:szCs w:val="21"/>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14:paraId="0E0B410C">
            <w:pPr>
              <w:widowControl/>
              <w:jc w:val="center"/>
              <w:rPr>
                <w:rFonts w:ascii="宋体" w:hAnsi="宋体"/>
                <w:kern w:val="0"/>
                <w:szCs w:val="21"/>
              </w:rPr>
            </w:pPr>
          </w:p>
        </w:tc>
        <w:tc>
          <w:tcPr>
            <w:tcW w:w="1276" w:type="dxa"/>
            <w:vMerge w:val="continue"/>
            <w:tcBorders>
              <w:top w:val="nil"/>
              <w:left w:val="single" w:color="auto" w:sz="4" w:space="0"/>
              <w:bottom w:val="single" w:color="000000" w:sz="4" w:space="0"/>
              <w:right w:val="single" w:color="auto" w:sz="4" w:space="0"/>
            </w:tcBorders>
            <w:vAlign w:val="center"/>
          </w:tcPr>
          <w:p w14:paraId="4157BA48">
            <w:pPr>
              <w:widowControl/>
              <w:jc w:val="center"/>
              <w:rPr>
                <w:rFonts w:ascii="Times New Roman" w:hAnsi="Times New Roman" w:cs="Times New Roman"/>
                <w:kern w:val="0"/>
                <w:szCs w:val="21"/>
              </w:rPr>
            </w:pPr>
          </w:p>
        </w:tc>
        <w:tc>
          <w:tcPr>
            <w:tcW w:w="1275" w:type="dxa"/>
            <w:vMerge w:val="continue"/>
            <w:tcBorders>
              <w:top w:val="nil"/>
              <w:left w:val="single" w:color="auto" w:sz="4" w:space="0"/>
              <w:bottom w:val="single" w:color="000000" w:sz="4" w:space="0"/>
              <w:right w:val="single" w:color="auto" w:sz="4" w:space="0"/>
            </w:tcBorders>
            <w:vAlign w:val="center"/>
          </w:tcPr>
          <w:p w14:paraId="389B43B5">
            <w:pPr>
              <w:widowControl/>
              <w:jc w:val="center"/>
              <w:rPr>
                <w:rFonts w:ascii="Times New Roman" w:hAnsi="Times New Roman" w:cs="Times New Roman"/>
                <w:kern w:val="0"/>
                <w:szCs w:val="21"/>
              </w:rPr>
            </w:pPr>
          </w:p>
        </w:tc>
        <w:tc>
          <w:tcPr>
            <w:tcW w:w="1134" w:type="dxa"/>
            <w:tcBorders>
              <w:top w:val="nil"/>
              <w:left w:val="nil"/>
              <w:bottom w:val="single" w:color="auto" w:sz="4" w:space="0"/>
              <w:right w:val="single" w:color="auto" w:sz="4" w:space="0"/>
            </w:tcBorders>
            <w:shd w:val="clear" w:color="auto" w:fill="auto"/>
            <w:noWrap/>
            <w:vAlign w:val="center"/>
          </w:tcPr>
          <w:p w14:paraId="4754E78A">
            <w:pPr>
              <w:widowControl/>
              <w:jc w:val="center"/>
              <w:rPr>
                <w:rFonts w:ascii="Times New Roman" w:hAnsi="Times New Roman" w:cs="Times New Roman"/>
                <w:kern w:val="0"/>
                <w:szCs w:val="21"/>
              </w:rPr>
            </w:pPr>
            <w:r>
              <w:rPr>
                <w:rFonts w:hint="eastAsia" w:ascii="宋体" w:hAnsi="宋体" w:cs="Times New Roman"/>
                <w:kern w:val="0"/>
                <w:szCs w:val="21"/>
              </w:rPr>
              <w:t>土地补偿费</w:t>
            </w:r>
          </w:p>
        </w:tc>
        <w:tc>
          <w:tcPr>
            <w:tcW w:w="905" w:type="dxa"/>
            <w:tcBorders>
              <w:top w:val="nil"/>
              <w:left w:val="nil"/>
              <w:bottom w:val="single" w:color="auto" w:sz="4" w:space="0"/>
              <w:right w:val="single" w:color="auto" w:sz="4" w:space="0"/>
            </w:tcBorders>
            <w:shd w:val="clear" w:color="auto" w:fill="auto"/>
            <w:noWrap/>
            <w:vAlign w:val="center"/>
          </w:tcPr>
          <w:p w14:paraId="138CF84E">
            <w:pPr>
              <w:widowControl/>
              <w:jc w:val="center"/>
              <w:rPr>
                <w:rFonts w:ascii="Times New Roman" w:hAnsi="Times New Roman" w:cs="Times New Roman"/>
                <w:kern w:val="0"/>
                <w:szCs w:val="21"/>
              </w:rPr>
            </w:pPr>
            <w:r>
              <w:rPr>
                <w:rFonts w:hint="eastAsia" w:ascii="宋体" w:hAnsi="宋体" w:cs="Times New Roman"/>
                <w:kern w:val="0"/>
                <w:szCs w:val="21"/>
              </w:rPr>
              <w:t>安置补助费</w:t>
            </w:r>
          </w:p>
        </w:tc>
      </w:tr>
      <w:tr w14:paraId="3AE306A2">
        <w:tblPrEx>
          <w:tblCellMar>
            <w:top w:w="0" w:type="dxa"/>
            <w:left w:w="108" w:type="dxa"/>
            <w:bottom w:w="0" w:type="dxa"/>
            <w:right w:w="108" w:type="dxa"/>
          </w:tblCellMar>
        </w:tblPrEx>
        <w:trPr>
          <w:trHeight w:val="1955" w:hRule="atLeast"/>
        </w:trPr>
        <w:tc>
          <w:tcPr>
            <w:tcW w:w="865" w:type="dxa"/>
            <w:tcBorders>
              <w:top w:val="nil"/>
              <w:left w:val="single" w:color="auto" w:sz="4" w:space="0"/>
              <w:bottom w:val="single" w:color="auto" w:sz="4" w:space="0"/>
              <w:right w:val="single" w:color="auto" w:sz="4" w:space="0"/>
            </w:tcBorders>
            <w:shd w:val="clear" w:color="auto" w:fill="auto"/>
            <w:noWrap/>
            <w:vAlign w:val="center"/>
          </w:tcPr>
          <w:p w14:paraId="787651A0">
            <w:pPr>
              <w:widowControl/>
              <w:jc w:val="center"/>
              <w:rPr>
                <w:rFonts w:ascii="Times New Roman" w:hAnsi="Times New Roman" w:cs="Times New Roman"/>
                <w:kern w:val="0"/>
                <w:szCs w:val="21"/>
              </w:rPr>
            </w:pPr>
            <w:r>
              <w:rPr>
                <w:rFonts w:ascii="Times New Roman" w:hAnsi="Times New Roman" w:cs="Times New Roman"/>
                <w:kern w:val="0"/>
                <w:szCs w:val="21"/>
              </w:rPr>
              <w:t>I</w:t>
            </w:r>
          </w:p>
        </w:tc>
        <w:tc>
          <w:tcPr>
            <w:tcW w:w="6237" w:type="dxa"/>
            <w:tcBorders>
              <w:top w:val="nil"/>
              <w:left w:val="nil"/>
              <w:bottom w:val="single" w:color="auto" w:sz="4" w:space="0"/>
              <w:right w:val="single" w:color="auto" w:sz="4" w:space="0"/>
            </w:tcBorders>
            <w:shd w:val="clear" w:color="auto" w:fill="auto"/>
            <w:vAlign w:val="center"/>
          </w:tcPr>
          <w:p w14:paraId="7BC1514E">
            <w:pPr>
              <w:rPr>
                <w:rFonts w:ascii="Times New Roman" w:hAnsi="Times New Roman" w:cs="Times New Roman"/>
                <w:szCs w:val="21"/>
              </w:rPr>
            </w:pPr>
            <w:r>
              <w:rPr>
                <w:rFonts w:ascii="Times New Roman" w:hAnsi="Times New Roman" w:cs="Times New Roman"/>
                <w:szCs w:val="21"/>
              </w:rPr>
              <w:t>勐卯镇：勐卯、姐岗、姐勒、姐东、芒令、勐力、团结、卡南；畹町镇：芒棒、混板、新合；弄岛镇：弄岛、等秀、雷允、等嘎、雷允；姐相乡：贺腮、顺哈、暖波、俄罗、雷午、贺赛；户育乡：户育、弄贤、班岭、雷弄、雷午、飞海；勐秀乡：勐秀、户瓦、户兰、勐典、等扎、南京里、小街、飞海</w:t>
            </w:r>
          </w:p>
        </w:tc>
        <w:tc>
          <w:tcPr>
            <w:tcW w:w="1134" w:type="dxa"/>
            <w:tcBorders>
              <w:top w:val="nil"/>
              <w:left w:val="nil"/>
              <w:bottom w:val="single" w:color="auto" w:sz="4" w:space="0"/>
              <w:right w:val="single" w:color="auto" w:sz="4" w:space="0"/>
            </w:tcBorders>
            <w:shd w:val="clear" w:color="auto" w:fill="auto"/>
            <w:noWrap/>
            <w:vAlign w:val="center"/>
          </w:tcPr>
          <w:p w14:paraId="57EDF633">
            <w:pPr>
              <w:jc w:val="center"/>
              <w:rPr>
                <w:rFonts w:ascii="Times New Roman" w:hAnsi="Times New Roman" w:cs="Times New Roman"/>
                <w:szCs w:val="21"/>
              </w:rPr>
            </w:pPr>
            <w:r>
              <w:rPr>
                <w:rFonts w:ascii="Times New Roman" w:hAnsi="Times New Roman" w:cs="Times New Roman"/>
                <w:szCs w:val="21"/>
              </w:rPr>
              <w:t>36</w:t>
            </w:r>
          </w:p>
        </w:tc>
        <w:tc>
          <w:tcPr>
            <w:tcW w:w="1134" w:type="dxa"/>
            <w:tcBorders>
              <w:top w:val="nil"/>
              <w:left w:val="nil"/>
              <w:bottom w:val="single" w:color="auto" w:sz="4" w:space="0"/>
              <w:right w:val="single" w:color="auto" w:sz="4" w:space="0"/>
            </w:tcBorders>
            <w:shd w:val="clear" w:color="auto" w:fill="auto"/>
            <w:vAlign w:val="center"/>
          </w:tcPr>
          <w:p w14:paraId="411CAD04">
            <w:pPr>
              <w:jc w:val="center"/>
              <w:rPr>
                <w:rFonts w:ascii="Times New Roman" w:hAnsi="Times New Roman" w:cs="Times New Roman"/>
                <w:szCs w:val="21"/>
              </w:rPr>
            </w:pPr>
            <w:r>
              <w:rPr>
                <w:rFonts w:ascii="Times New Roman" w:hAnsi="Times New Roman" w:cs="Times New Roman"/>
                <w:szCs w:val="21"/>
              </w:rPr>
              <w:t>12.4487</w:t>
            </w:r>
          </w:p>
        </w:tc>
        <w:tc>
          <w:tcPr>
            <w:tcW w:w="1276" w:type="dxa"/>
            <w:tcBorders>
              <w:top w:val="nil"/>
              <w:left w:val="nil"/>
              <w:bottom w:val="single" w:color="auto" w:sz="4" w:space="0"/>
              <w:right w:val="single" w:color="auto" w:sz="4" w:space="0"/>
            </w:tcBorders>
            <w:shd w:val="clear" w:color="auto" w:fill="auto"/>
            <w:noWrap/>
            <w:vAlign w:val="center"/>
          </w:tcPr>
          <w:p w14:paraId="45424E7E">
            <w:pPr>
              <w:jc w:val="center"/>
              <w:rPr>
                <w:rFonts w:ascii="Times New Roman" w:hAnsi="Times New Roman" w:cs="Times New Roman"/>
                <w:szCs w:val="21"/>
              </w:rPr>
            </w:pPr>
            <w:r>
              <w:rPr>
                <w:rFonts w:ascii="Times New Roman" w:hAnsi="Times New Roman" w:cs="Times New Roman"/>
                <w:szCs w:val="21"/>
              </w:rPr>
              <w:t>978120.17</w:t>
            </w:r>
          </w:p>
        </w:tc>
        <w:tc>
          <w:tcPr>
            <w:tcW w:w="1275" w:type="dxa"/>
            <w:tcBorders>
              <w:top w:val="nil"/>
              <w:left w:val="nil"/>
              <w:bottom w:val="single" w:color="auto" w:sz="4" w:space="0"/>
              <w:right w:val="single" w:color="auto" w:sz="4" w:space="0"/>
            </w:tcBorders>
            <w:shd w:val="clear" w:color="auto" w:fill="auto"/>
            <w:noWrap/>
            <w:vAlign w:val="center"/>
          </w:tcPr>
          <w:p w14:paraId="1C130501">
            <w:pPr>
              <w:jc w:val="center"/>
              <w:rPr>
                <w:rFonts w:ascii="Times New Roman" w:hAnsi="Times New Roman" w:cs="Times New Roman"/>
                <w:szCs w:val="21"/>
              </w:rPr>
            </w:pPr>
            <w:r>
              <w:rPr>
                <w:rFonts w:ascii="Times New Roman" w:hAnsi="Times New Roman" w:cs="Times New Roman"/>
                <w:szCs w:val="21"/>
              </w:rPr>
              <w:t>52700</w:t>
            </w:r>
          </w:p>
        </w:tc>
        <w:tc>
          <w:tcPr>
            <w:tcW w:w="1134" w:type="dxa"/>
            <w:tcBorders>
              <w:top w:val="nil"/>
              <w:left w:val="nil"/>
              <w:bottom w:val="single" w:color="auto" w:sz="4" w:space="0"/>
              <w:right w:val="single" w:color="auto" w:sz="4" w:space="0"/>
            </w:tcBorders>
            <w:shd w:val="clear" w:color="auto" w:fill="auto"/>
            <w:noWrap/>
            <w:vAlign w:val="center"/>
          </w:tcPr>
          <w:p w14:paraId="6DF9BDFC">
            <w:pPr>
              <w:jc w:val="center"/>
              <w:rPr>
                <w:rFonts w:ascii="Times New Roman" w:hAnsi="Times New Roman" w:cs="Times New Roman"/>
                <w:szCs w:val="21"/>
              </w:rPr>
            </w:pPr>
            <w:r>
              <w:rPr>
                <w:rFonts w:ascii="Times New Roman" w:hAnsi="Times New Roman" w:cs="Times New Roman"/>
                <w:szCs w:val="21"/>
              </w:rPr>
              <w:t>21080</w:t>
            </w:r>
          </w:p>
        </w:tc>
        <w:tc>
          <w:tcPr>
            <w:tcW w:w="905" w:type="dxa"/>
            <w:tcBorders>
              <w:top w:val="nil"/>
              <w:left w:val="nil"/>
              <w:bottom w:val="single" w:color="auto" w:sz="4" w:space="0"/>
              <w:right w:val="single" w:color="auto" w:sz="4" w:space="0"/>
            </w:tcBorders>
            <w:shd w:val="clear" w:color="auto" w:fill="auto"/>
            <w:noWrap/>
            <w:vAlign w:val="center"/>
          </w:tcPr>
          <w:p w14:paraId="188C88F5">
            <w:pPr>
              <w:jc w:val="center"/>
              <w:rPr>
                <w:rFonts w:ascii="Times New Roman" w:hAnsi="Times New Roman" w:cs="Times New Roman"/>
                <w:szCs w:val="21"/>
              </w:rPr>
            </w:pPr>
            <w:r>
              <w:rPr>
                <w:rFonts w:ascii="Times New Roman" w:hAnsi="Times New Roman" w:cs="Times New Roman"/>
                <w:szCs w:val="21"/>
              </w:rPr>
              <w:t>31620</w:t>
            </w:r>
          </w:p>
        </w:tc>
      </w:tr>
    </w:tbl>
    <w:p w14:paraId="56253A95">
      <w:pPr>
        <w:ind w:firstLine="420" w:firstLineChars="200"/>
        <w:sectPr>
          <w:pgSz w:w="16838" w:h="11906" w:orient="landscape"/>
          <w:pgMar w:top="1800" w:right="1440" w:bottom="1800" w:left="1440" w:header="851" w:footer="992" w:gutter="0"/>
          <w:cols w:space="425" w:num="1"/>
          <w:docGrid w:type="lines" w:linePitch="312" w:charSpace="0"/>
        </w:sectPr>
      </w:pPr>
      <w:r>
        <w:rPr>
          <w:rFonts w:hint="eastAsia"/>
        </w:rPr>
        <w:t xml:space="preserve"> </w:t>
      </w:r>
    </w:p>
    <w:p w14:paraId="635F7E13">
      <w:pPr>
        <w:spacing w:line="360" w:lineRule="auto"/>
        <w:outlineLvl w:val="0"/>
        <w:rPr>
          <w:rFonts w:ascii="Times New Roman" w:hAnsi="Times New Roman" w:eastAsia="黑体" w:cs="Times New Roman"/>
          <w:b/>
          <w:bCs/>
          <w:sz w:val="30"/>
          <w:szCs w:val="30"/>
        </w:rPr>
      </w:pPr>
      <w:r>
        <w:rPr>
          <w:rFonts w:hint="eastAsia" w:ascii="Times New Roman" w:hAnsi="Times New Roman" w:eastAsia="黑体" w:cs="Times New Roman"/>
          <w:b/>
          <w:bCs/>
          <w:sz w:val="30"/>
          <w:szCs w:val="30"/>
        </w:rPr>
        <w:t>四、征地区片综合地价区片图</w:t>
      </w:r>
      <w:bookmarkEnd w:id="6"/>
      <w:bookmarkEnd w:id="7"/>
      <w:bookmarkEnd w:id="8"/>
    </w:p>
    <w:p w14:paraId="56F61662">
      <w:pPr>
        <w:spacing w:line="360" w:lineRule="auto"/>
        <w:jc w:val="left"/>
        <w:rPr>
          <w:rFonts w:ascii="Times New Roman" w:hAnsi="Times New Roman" w:eastAsia="黑体" w:cs="Times New Roman"/>
          <w:b/>
          <w:bCs/>
          <w:sz w:val="30"/>
          <w:szCs w:val="30"/>
        </w:rPr>
      </w:pPr>
      <w:r>
        <w:rPr>
          <w:rFonts w:ascii="Times New Roman" w:hAnsi="Times New Roman" w:eastAsia="黑体" w:cs="Times New Roman"/>
          <w:b/>
          <w:bCs/>
          <w:sz w:val="30"/>
          <w:szCs w:val="30"/>
        </w:rPr>
        <w:drawing>
          <wp:inline distT="0" distB="0" distL="0" distR="0">
            <wp:extent cx="5725160" cy="3523615"/>
            <wp:effectExtent l="19050" t="0" r="8890" b="0"/>
            <wp:docPr id="2" name="图片 1" descr="瑞丽市征收农用地区片综合地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瑞丽市征收农用地区片综合地价.jpg"/>
                    <pic:cNvPicPr>
                      <a:picLocks noChangeAspect="1"/>
                    </pic:cNvPicPr>
                  </pic:nvPicPr>
                  <pic:blipFill>
                    <a:blip r:embed="rId8"/>
                    <a:stretch>
                      <a:fillRect/>
                    </a:stretch>
                  </pic:blipFill>
                  <pic:spPr>
                    <a:xfrm>
                      <a:off x="0" y="0"/>
                      <a:ext cx="5725160" cy="3523615"/>
                    </a:xfrm>
                    <a:prstGeom prst="rect">
                      <a:avLst/>
                    </a:prstGeom>
                  </pic:spPr>
                </pic:pic>
              </a:graphicData>
            </a:graphic>
          </wp:inline>
        </w:drawing>
      </w:r>
    </w:p>
    <w:p w14:paraId="3957C3BF">
      <w:pPr>
        <w:spacing w:line="360" w:lineRule="auto"/>
        <w:outlineLvl w:val="0"/>
        <w:rPr>
          <w:rFonts w:ascii="Times New Roman" w:hAnsi="Times New Roman" w:eastAsia="黑体" w:cs="Times New Roman"/>
          <w:b/>
          <w:bCs/>
          <w:sz w:val="30"/>
          <w:szCs w:val="30"/>
        </w:rPr>
      </w:pPr>
      <w:bookmarkStart w:id="9" w:name="_Toc31447"/>
      <w:bookmarkStart w:id="10" w:name="_Toc4562"/>
      <w:bookmarkStart w:id="11" w:name="_Toc26983"/>
      <w:r>
        <w:rPr>
          <w:rFonts w:hint="eastAsia" w:ascii="Times New Roman" w:hAnsi="Times New Roman" w:eastAsia="黑体" w:cs="Times New Roman"/>
          <w:b/>
          <w:bCs/>
          <w:sz w:val="30"/>
          <w:szCs w:val="30"/>
        </w:rPr>
        <w:t>五、结果对比</w:t>
      </w:r>
    </w:p>
    <w:p w14:paraId="5BB6B281">
      <w:pPr>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（一）分区对比分析</w:t>
      </w:r>
    </w:p>
    <w:p w14:paraId="3185B04A">
      <w:pPr>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2019年，</w:t>
      </w:r>
      <w:r>
        <w:rPr>
          <w:rFonts w:ascii="Times New Roman" w:hAnsi="Times New Roman" w:eastAsia="仿宋_GB2312" w:cs="Times New Roman"/>
          <w:sz w:val="28"/>
          <w:szCs w:val="28"/>
        </w:rPr>
        <w:t>以习近平新时代中国特色社会主义思想为指导，全面贯彻党的十九大和十九届二中、三中全会精神，统筹推进“五位一体”总体布局和协调推进“四个全面”战略布局，坚持稳中求进工作总基调，坚持新发展理念，坚持高质量发展，以供给侧结构性改革为主线，主动服务和融入国家重大战略，更好服务对外开放总体战略布局，解放思想、大胆创新，把自贸试验区建设成为新时代改革开放的新高地。</w:t>
      </w:r>
      <w:r>
        <w:rPr>
          <w:rFonts w:hint="eastAsia" w:ascii="Times New Roman" w:hAnsi="Times New Roman" w:eastAsia="仿宋_GB2312" w:cs="Times New Roman"/>
          <w:sz w:val="28"/>
          <w:szCs w:val="28"/>
        </w:rPr>
        <w:t>瑞丽市位于中国（云南）自由贸易试验区德宏片区核心地带，自贸区成立推动了瑞丽市基础设施建设，初步形成“铁路、公路、航空三大‘铁公机’网络大格局，能源、通讯飞速发展。”公路建设成效显著，龙瑞和瑞陇高速公路建成通车，瑞孟高速公路开工建设，各乡镇、建制村实现100%道路通班车。供电可靠率达99.7%;同时已开通管道天然气。互联网建设步伐加快，建成中缅国际光缆1583公里，瑞丽市实现4G网络全覆盖。瑞丽市行政区范围基础设施基本无差异，直接降低土地区位影响，同时自贸区的成立，直接导致其土地供求关系差异不大，加上瑞丽市</w:t>
      </w:r>
      <w:r>
        <w:rPr>
          <w:rFonts w:ascii="Times New Roman" w:hAnsi="Times New Roman" w:eastAsia="仿宋_GB2312" w:cs="Times New Roman"/>
          <w:sz w:val="28"/>
          <w:szCs w:val="28"/>
        </w:rPr>
        <w:t>基本无霜，年平均气温21</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，年降水量1394.8 毫米，年平均</w:t>
      </w:r>
      <w:r>
        <w:fldChar w:fldCharType="begin"/>
      </w:r>
      <w:r>
        <w:instrText xml:space="preserve"> HYPERLINK "https://baike.baidu.com/item/%E6%97%A5%E7%85%A7" \t "_blank" </w:instrText>
      </w:r>
      <w:r>
        <w:fldChar w:fldCharType="separate"/>
      </w:r>
      <w:r>
        <w:rPr>
          <w:rFonts w:ascii="Times New Roman" w:hAnsi="Times New Roman" w:eastAsia="仿宋_GB2312" w:cs="Times New Roman"/>
          <w:sz w:val="28"/>
          <w:szCs w:val="28"/>
        </w:rPr>
        <w:t>日照</w:t>
      </w:r>
      <w:r>
        <w:rPr>
          <w:rFonts w:ascii="Times New Roman" w:hAnsi="Times New Roman" w:eastAsia="仿宋_GB2312" w:cs="Times New Roman"/>
          <w:sz w:val="28"/>
          <w:szCs w:val="28"/>
        </w:rPr>
        <w:fldChar w:fldCharType="end"/>
      </w:r>
      <w:r>
        <w:rPr>
          <w:rFonts w:ascii="Times New Roman" w:hAnsi="Times New Roman" w:eastAsia="仿宋_GB2312" w:cs="Times New Roman"/>
          <w:sz w:val="28"/>
          <w:szCs w:val="28"/>
        </w:rPr>
        <w:t>2330小时。冬无严寒，夏无酷暑，花开四季，果结终年，自然条件基本一致</w:t>
      </w:r>
      <w:r>
        <w:rPr>
          <w:rFonts w:hint="eastAsia" w:ascii="Times New Roman" w:hAnsi="Times New Roman" w:eastAsia="仿宋_GB2312" w:cs="Times New Roman"/>
          <w:sz w:val="28"/>
          <w:szCs w:val="28"/>
        </w:rPr>
        <w:t>。</w:t>
      </w:r>
    </w:p>
    <w:p w14:paraId="129C851A">
      <w:pPr>
        <w:ind w:firstLine="560" w:firstLineChars="200"/>
        <w:rPr>
          <w:rFonts w:ascii="Times New Roman" w:hAnsi="Times New Roman" w:eastAsia="仿宋_GB2312" w:cs="Times New Roman"/>
          <w:b/>
          <w:sz w:val="24"/>
        </w:rPr>
      </w:pPr>
      <w:r>
        <w:rPr>
          <w:rFonts w:hint="eastAsia" w:ascii="Times New Roman" w:hAnsi="Times New Roman" w:eastAsia="仿宋_GB2312" w:cs="Times New Roman"/>
          <w:sz w:val="28"/>
          <w:szCs w:val="28"/>
          <w:lang w:val="en-US" w:eastAsia="zh-CN"/>
        </w:rPr>
        <w:t>综</w:t>
      </w:r>
      <w:bookmarkStart w:id="12" w:name="_GoBack"/>
      <w:bookmarkEnd w:id="12"/>
      <w:r>
        <w:rPr>
          <w:rFonts w:hint="eastAsia" w:ascii="Times New Roman" w:hAnsi="Times New Roman" w:eastAsia="仿宋_GB2312" w:cs="Times New Roman"/>
          <w:sz w:val="28"/>
          <w:szCs w:val="28"/>
        </w:rPr>
        <w:t>上所述，瑞丽市行政区范围内采用各社区（行政村）的</w:t>
      </w:r>
      <w:r>
        <w:rPr>
          <w:rFonts w:hint="eastAsia" w:ascii="仿宋_GB2312" w:hAnsi="仿宋_GB2312" w:eastAsia="仿宋_GB2312" w:cs="仿宋_GB2312"/>
          <w:kern w:val="0"/>
          <w:sz w:val="24"/>
        </w:rPr>
        <w:t>土地资源条件、土地区位、土地供求关系以及人口与经济社会发展水平等因素测算的各</w:t>
      </w:r>
      <w:r>
        <w:rPr>
          <w:rFonts w:hint="eastAsia" w:ascii="Times New Roman" w:hAnsi="Times New Roman" w:eastAsia="仿宋_GB2312" w:cs="Times New Roman"/>
          <w:sz w:val="28"/>
          <w:szCs w:val="28"/>
        </w:rPr>
        <w:t>社区（行政村）总分值差异不大，结合瑞丽市实际补偿经验，综合将瑞丽市归并为一个区片。</w:t>
      </w:r>
    </w:p>
    <w:p w14:paraId="19F746C1">
      <w:pPr>
        <w:ind w:firstLine="482" w:firstLineChars="200"/>
        <w:jc w:val="center"/>
        <w:rPr>
          <w:rFonts w:ascii="Times New Roman" w:hAnsi="Times New Roman" w:eastAsia="仿宋_GB2312" w:cs="Times New Roman"/>
          <w:sz w:val="28"/>
          <w:szCs w:val="28"/>
        </w:rPr>
      </w:pPr>
      <w:r>
        <w:rPr>
          <w:rFonts w:ascii="Times New Roman" w:hAnsi="Times New Roman" w:eastAsia="仿宋_GB2312" w:cs="Times New Roman"/>
          <w:b/>
          <w:sz w:val="24"/>
        </w:rPr>
        <w:t>表</w:t>
      </w:r>
      <w:r>
        <w:rPr>
          <w:rFonts w:hint="eastAsia" w:ascii="Times New Roman" w:hAnsi="Times New Roman" w:eastAsia="仿宋_GB2312" w:cs="Times New Roman"/>
          <w:b/>
          <w:sz w:val="24"/>
        </w:rPr>
        <w:t>2</w:t>
      </w:r>
      <w:r>
        <w:rPr>
          <w:rFonts w:ascii="Times New Roman" w:hAnsi="Times New Roman" w:eastAsia="仿宋_GB2312" w:cs="Times New Roman"/>
          <w:b/>
          <w:sz w:val="24"/>
        </w:rPr>
        <w:t xml:space="preserve"> 瑞丽市调整前后征地补偿标准分区比较表</w:t>
      </w:r>
    </w:p>
    <w:tbl>
      <w:tblPr>
        <w:tblStyle w:val="10"/>
        <w:tblW w:w="5000" w:type="pct"/>
        <w:tblInd w:w="0" w:type="dxa"/>
        <w:tblLayout w:type="autofit"/>
        <w:tblCellMar>
          <w:top w:w="0" w:type="dxa"/>
          <w:left w:w="108" w:type="dxa"/>
          <w:bottom w:w="0" w:type="dxa"/>
          <w:right w:w="108" w:type="dxa"/>
        </w:tblCellMar>
      </w:tblPr>
      <w:tblGrid>
        <w:gridCol w:w="958"/>
        <w:gridCol w:w="2127"/>
        <w:gridCol w:w="1133"/>
        <w:gridCol w:w="5012"/>
      </w:tblGrid>
      <w:tr w14:paraId="6DBCC96A">
        <w:tblPrEx>
          <w:tblCellMar>
            <w:top w:w="0" w:type="dxa"/>
            <w:left w:w="108" w:type="dxa"/>
            <w:bottom w:w="0" w:type="dxa"/>
            <w:right w:w="108" w:type="dxa"/>
          </w:tblCellMar>
        </w:tblPrEx>
        <w:trPr>
          <w:trHeight w:val="600" w:hRule="atLeast"/>
        </w:trPr>
        <w:tc>
          <w:tcPr>
            <w:tcW w:w="519" w:type="pct"/>
            <w:tcBorders>
              <w:top w:val="single" w:color="auto" w:sz="8" w:space="0"/>
              <w:left w:val="single" w:color="auto" w:sz="8" w:space="0"/>
              <w:bottom w:val="single" w:color="auto" w:sz="4" w:space="0"/>
              <w:right w:val="single" w:color="auto" w:sz="8" w:space="0"/>
            </w:tcBorders>
            <w:shd w:val="clear" w:color="auto" w:fill="auto"/>
            <w:vAlign w:val="center"/>
          </w:tcPr>
          <w:p w14:paraId="06CC8066">
            <w:pPr>
              <w:widowControl/>
              <w:jc w:val="center"/>
              <w:rPr>
                <w:rFonts w:ascii="仿宋_GB2312" w:hAnsi="宋体" w:eastAsia="仿宋_GB2312"/>
                <w:b/>
                <w:bCs/>
                <w:kern w:val="0"/>
                <w:szCs w:val="21"/>
              </w:rPr>
            </w:pPr>
            <w:r>
              <w:rPr>
                <w:rFonts w:hint="eastAsia" w:ascii="仿宋_GB2312" w:hAnsi="宋体" w:eastAsia="仿宋_GB2312"/>
                <w:b/>
                <w:bCs/>
                <w:kern w:val="0"/>
                <w:szCs w:val="21"/>
              </w:rPr>
              <w:t>区域编号</w:t>
            </w:r>
          </w:p>
        </w:tc>
        <w:tc>
          <w:tcPr>
            <w:tcW w:w="1152" w:type="pct"/>
            <w:tcBorders>
              <w:top w:val="single" w:color="auto" w:sz="8" w:space="0"/>
              <w:left w:val="nil"/>
              <w:bottom w:val="single" w:color="auto" w:sz="4" w:space="0"/>
              <w:right w:val="single" w:color="auto" w:sz="8" w:space="0"/>
            </w:tcBorders>
            <w:shd w:val="clear" w:color="auto" w:fill="auto"/>
            <w:vAlign w:val="center"/>
          </w:tcPr>
          <w:p w14:paraId="31410F13">
            <w:pPr>
              <w:widowControl/>
              <w:jc w:val="center"/>
              <w:rPr>
                <w:rFonts w:ascii="仿宋_GB2312" w:hAnsi="宋体" w:eastAsia="仿宋_GB2312"/>
                <w:b/>
                <w:bCs/>
                <w:kern w:val="0"/>
                <w:szCs w:val="21"/>
              </w:rPr>
            </w:pPr>
            <w:r>
              <w:rPr>
                <w:rFonts w:hint="eastAsia" w:ascii="仿宋_GB2312" w:hAnsi="宋体" w:eastAsia="仿宋_GB2312"/>
                <w:b/>
                <w:bCs/>
                <w:kern w:val="0"/>
                <w:szCs w:val="21"/>
              </w:rPr>
              <w:t>2014年省政府公布区域范围描述</w:t>
            </w:r>
          </w:p>
        </w:tc>
        <w:tc>
          <w:tcPr>
            <w:tcW w:w="614" w:type="pct"/>
            <w:tcBorders>
              <w:top w:val="single" w:color="auto" w:sz="8" w:space="0"/>
              <w:left w:val="nil"/>
              <w:bottom w:val="single" w:color="auto" w:sz="4" w:space="0"/>
              <w:right w:val="single" w:color="auto" w:sz="8" w:space="0"/>
            </w:tcBorders>
            <w:shd w:val="clear" w:color="auto" w:fill="auto"/>
            <w:vAlign w:val="center"/>
          </w:tcPr>
          <w:p w14:paraId="2F9770B1">
            <w:pPr>
              <w:widowControl/>
              <w:jc w:val="center"/>
              <w:rPr>
                <w:rFonts w:ascii="仿宋_GB2312" w:hAnsi="宋体" w:eastAsia="仿宋_GB2312"/>
                <w:b/>
                <w:bCs/>
                <w:kern w:val="0"/>
                <w:szCs w:val="21"/>
              </w:rPr>
            </w:pPr>
            <w:r>
              <w:rPr>
                <w:rFonts w:hint="eastAsia" w:ascii="仿宋_GB2312" w:hAnsi="宋体" w:eastAsia="仿宋_GB2312"/>
                <w:b/>
                <w:bCs/>
                <w:kern w:val="0"/>
                <w:szCs w:val="21"/>
              </w:rPr>
              <w:t>新制定区域编号</w:t>
            </w:r>
          </w:p>
        </w:tc>
        <w:tc>
          <w:tcPr>
            <w:tcW w:w="2715" w:type="pct"/>
            <w:tcBorders>
              <w:top w:val="single" w:color="auto" w:sz="8" w:space="0"/>
              <w:left w:val="nil"/>
              <w:bottom w:val="single" w:color="auto" w:sz="4" w:space="0"/>
              <w:right w:val="single" w:color="auto" w:sz="8" w:space="0"/>
            </w:tcBorders>
            <w:shd w:val="clear" w:color="auto" w:fill="auto"/>
            <w:vAlign w:val="center"/>
          </w:tcPr>
          <w:p w14:paraId="4FC7EC24">
            <w:pPr>
              <w:widowControl/>
              <w:jc w:val="center"/>
              <w:rPr>
                <w:rFonts w:ascii="仿宋_GB2312" w:hAnsi="宋体" w:eastAsia="仿宋_GB2312"/>
                <w:b/>
                <w:bCs/>
                <w:kern w:val="0"/>
                <w:szCs w:val="21"/>
              </w:rPr>
            </w:pPr>
            <w:r>
              <w:rPr>
                <w:rFonts w:hint="eastAsia" w:ascii="仿宋_GB2312" w:hAnsi="宋体" w:eastAsia="仿宋_GB2312"/>
                <w:b/>
                <w:bCs/>
                <w:kern w:val="0"/>
                <w:szCs w:val="21"/>
              </w:rPr>
              <w:t>新制定区区域范围描述</w:t>
            </w:r>
          </w:p>
        </w:tc>
      </w:tr>
      <w:tr w14:paraId="39C30C0C">
        <w:tblPrEx>
          <w:tblCellMar>
            <w:top w:w="0" w:type="dxa"/>
            <w:left w:w="108" w:type="dxa"/>
            <w:bottom w:w="0" w:type="dxa"/>
            <w:right w:w="108" w:type="dxa"/>
          </w:tblCellMar>
        </w:tblPrEx>
        <w:trPr>
          <w:trHeight w:val="2778" w:hRule="atLeast"/>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C09EA19">
            <w:pPr>
              <w:widowControl/>
              <w:jc w:val="center"/>
              <w:rPr>
                <w:rFonts w:ascii="仿宋_GB2312" w:hAnsi="宋体" w:eastAsia="仿宋_GB2312"/>
                <w:kern w:val="0"/>
                <w:szCs w:val="21"/>
              </w:rPr>
            </w:pPr>
            <w:r>
              <w:rPr>
                <w:rFonts w:hint="eastAsia" w:ascii="仿宋_GB2312" w:hAnsi="宋体" w:eastAsia="仿宋_GB2312"/>
                <w:kern w:val="0"/>
                <w:szCs w:val="21"/>
              </w:rPr>
              <w:t>一类区</w:t>
            </w:r>
          </w:p>
        </w:tc>
        <w:tc>
          <w:tcPr>
            <w:tcW w:w="1152" w:type="pct"/>
            <w:tcBorders>
              <w:top w:val="single" w:color="auto" w:sz="4" w:space="0"/>
              <w:left w:val="single" w:color="auto" w:sz="4" w:space="0"/>
              <w:bottom w:val="single" w:color="auto" w:sz="4" w:space="0"/>
              <w:right w:val="single" w:color="auto" w:sz="4" w:space="0"/>
            </w:tcBorders>
            <w:shd w:val="clear" w:color="auto" w:fill="auto"/>
            <w:vAlign w:val="center"/>
          </w:tcPr>
          <w:p w14:paraId="253490B9">
            <w:pPr>
              <w:widowControl/>
              <w:jc w:val="center"/>
              <w:rPr>
                <w:rFonts w:ascii="仿宋_GB2312" w:hAnsi="宋体" w:eastAsia="仿宋_GB2312"/>
                <w:kern w:val="0"/>
                <w:szCs w:val="21"/>
              </w:rPr>
            </w:pPr>
            <w:r>
              <w:rPr>
                <w:rFonts w:hint="eastAsia" w:ascii="仿宋_GB2312" w:hAnsi="仿宋" w:eastAsia="仿宋_GB2312"/>
                <w:kern w:val="0"/>
                <w:szCs w:val="21"/>
              </w:rPr>
              <w:t>原合作区、勐卯镇、畹町镇、弄岛镇、姐相乡、勐秀乡、户育乡</w:t>
            </w:r>
          </w:p>
        </w:tc>
        <w:tc>
          <w:tcPr>
            <w:tcW w:w="614" w:type="pct"/>
            <w:tcBorders>
              <w:top w:val="single" w:color="auto" w:sz="4" w:space="0"/>
              <w:left w:val="single" w:color="auto" w:sz="4" w:space="0"/>
              <w:bottom w:val="single" w:color="auto" w:sz="4" w:space="0"/>
              <w:right w:val="single" w:color="auto" w:sz="4" w:space="0"/>
            </w:tcBorders>
            <w:shd w:val="clear" w:color="auto" w:fill="auto"/>
            <w:vAlign w:val="center"/>
          </w:tcPr>
          <w:p w14:paraId="4A2065F6">
            <w:pPr>
              <w:widowControl/>
              <w:jc w:val="center"/>
              <w:rPr>
                <w:rFonts w:ascii="宋体" w:hAnsi="宋体"/>
                <w:kern w:val="0"/>
                <w:szCs w:val="21"/>
              </w:rPr>
            </w:pPr>
            <w:r>
              <w:rPr>
                <w:rFonts w:hint="eastAsia" w:ascii="宋体" w:hAnsi="宋体"/>
                <w:kern w:val="0"/>
                <w:szCs w:val="21"/>
              </w:rPr>
              <w:t>Ⅰ</w:t>
            </w:r>
          </w:p>
        </w:tc>
        <w:tc>
          <w:tcPr>
            <w:tcW w:w="2715" w:type="pct"/>
            <w:tcBorders>
              <w:top w:val="single" w:color="auto" w:sz="4" w:space="0"/>
              <w:left w:val="single" w:color="auto" w:sz="4" w:space="0"/>
              <w:bottom w:val="single" w:color="auto" w:sz="4" w:space="0"/>
              <w:right w:val="single" w:color="auto" w:sz="4" w:space="0"/>
            </w:tcBorders>
            <w:shd w:val="clear" w:color="auto" w:fill="auto"/>
            <w:vAlign w:val="center"/>
          </w:tcPr>
          <w:p w14:paraId="7365135E">
            <w:pPr>
              <w:rPr>
                <w:rFonts w:ascii="仿宋_GB2312" w:hAnsi="仿宋" w:eastAsia="仿宋_GB2312"/>
                <w:kern w:val="0"/>
                <w:szCs w:val="21"/>
              </w:rPr>
            </w:pPr>
            <w:r>
              <w:rPr>
                <w:rFonts w:ascii="仿宋_GB2312" w:hAnsi="仿宋" w:eastAsia="仿宋_GB2312"/>
                <w:kern w:val="0"/>
                <w:szCs w:val="21"/>
              </w:rPr>
              <w:t>勐卯镇：勐卯、姐岗、姐勒、姐东、芒令、勐力、团结、卡南；畹町镇：芒棒、混板、新合；弄岛镇：弄岛、等秀、雷允、等嘎、雷允；姐相乡：贺腮、顺哈、暖波、俄罗、雷午、贺赛；户育乡：户育、弄贤、班岭、雷弄、雷午、飞海；勐秀乡：勐秀、户瓦、户兰、勐典、等扎、南京里、小街、飞海</w:t>
            </w:r>
          </w:p>
        </w:tc>
      </w:tr>
    </w:tbl>
    <w:p w14:paraId="7663CE94">
      <w:pPr>
        <w:spacing w:line="360" w:lineRule="auto"/>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（二）与原补偿标准对比。</w:t>
      </w:r>
    </w:p>
    <w:p w14:paraId="1BF70057">
      <w:pPr>
        <w:spacing w:line="360"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本次</w:t>
      </w:r>
      <w:r>
        <w:rPr>
          <w:rFonts w:hint="eastAsia" w:ascii="Times New Roman" w:hAnsi="Times New Roman" w:eastAsia="仿宋_GB2312" w:cs="Times New Roman"/>
          <w:sz w:val="28"/>
          <w:szCs w:val="28"/>
        </w:rPr>
        <w:t>区片综合地价测算对比实际执行标准</w:t>
      </w:r>
      <w:r>
        <w:rPr>
          <w:rFonts w:ascii="Times New Roman" w:hAnsi="Times New Roman" w:eastAsia="仿宋_GB2312" w:cs="Times New Roman"/>
          <w:sz w:val="28"/>
          <w:szCs w:val="28"/>
        </w:rPr>
        <w:t>相比整体上涨了</w:t>
      </w:r>
      <w:r>
        <w:rPr>
          <w:rFonts w:hint="eastAsia" w:ascii="Times New Roman" w:hAnsi="Times New Roman" w:eastAsia="仿宋_GB2312" w:cs="Times New Roman"/>
          <w:sz w:val="28"/>
          <w:szCs w:val="28"/>
        </w:rPr>
        <w:t>22.93</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，补偿标准的上涨均高于农产品生产资料上涨幅度，</w:t>
      </w:r>
      <w:r>
        <w:rPr>
          <w:rFonts w:ascii="Times New Roman" w:hAnsi="Times New Roman" w:eastAsia="仿宋_GB2312" w:cs="Times New Roman"/>
          <w:sz w:val="28"/>
          <w:szCs w:val="28"/>
        </w:rPr>
        <w:t>保障了被征地农民原有生活水平不降低、长远生计有保障</w:t>
      </w:r>
      <w:r>
        <w:rPr>
          <w:rFonts w:hint="eastAsia" w:ascii="Times New Roman" w:hAnsi="Times New Roman" w:eastAsia="仿宋_GB2312" w:cs="Times New Roman"/>
          <w:sz w:val="28"/>
          <w:szCs w:val="28"/>
        </w:rPr>
        <w:t>。两轮补偿标准对比详见下表：</w:t>
      </w:r>
    </w:p>
    <w:p w14:paraId="42684DA3">
      <w:pPr>
        <w:ind w:firstLine="482" w:firstLineChars="200"/>
        <w:jc w:val="center"/>
        <w:rPr>
          <w:rFonts w:ascii="Times New Roman" w:hAnsi="Times New Roman" w:eastAsia="仿宋_GB2312" w:cs="Times New Roman"/>
          <w:sz w:val="28"/>
          <w:szCs w:val="28"/>
        </w:rPr>
      </w:pPr>
      <w:r>
        <w:rPr>
          <w:rFonts w:ascii="Times New Roman" w:hAnsi="Times New Roman" w:eastAsia="仿宋_GB2312" w:cs="Times New Roman"/>
          <w:b/>
          <w:sz w:val="24"/>
        </w:rPr>
        <w:t>表</w:t>
      </w:r>
      <w:r>
        <w:rPr>
          <w:rFonts w:hint="eastAsia" w:ascii="Times New Roman" w:hAnsi="Times New Roman" w:eastAsia="仿宋_GB2312" w:cs="Times New Roman"/>
          <w:b/>
          <w:sz w:val="24"/>
        </w:rPr>
        <w:t xml:space="preserve">3 </w:t>
      </w:r>
      <w:r>
        <w:rPr>
          <w:rFonts w:ascii="Times New Roman" w:hAnsi="Times New Roman" w:eastAsia="仿宋_GB2312" w:cs="Times New Roman"/>
          <w:b/>
          <w:sz w:val="24"/>
        </w:rPr>
        <w:t xml:space="preserve"> 瑞丽市前后征地补偿标准比较表</w:t>
      </w:r>
    </w:p>
    <w:tbl>
      <w:tblPr>
        <w:tblStyle w:val="10"/>
        <w:tblW w:w="5000" w:type="pct"/>
        <w:tblInd w:w="0" w:type="dxa"/>
        <w:tblLayout w:type="autofit"/>
        <w:tblCellMar>
          <w:top w:w="0" w:type="dxa"/>
          <w:left w:w="108" w:type="dxa"/>
          <w:bottom w:w="0" w:type="dxa"/>
          <w:right w:w="108" w:type="dxa"/>
        </w:tblCellMar>
      </w:tblPr>
      <w:tblGrid>
        <w:gridCol w:w="1242"/>
        <w:gridCol w:w="1704"/>
        <w:gridCol w:w="2793"/>
        <w:gridCol w:w="2396"/>
        <w:gridCol w:w="1095"/>
      </w:tblGrid>
      <w:tr w14:paraId="04479E25">
        <w:tblPrEx>
          <w:tblCellMar>
            <w:top w:w="0" w:type="dxa"/>
            <w:left w:w="108" w:type="dxa"/>
            <w:bottom w:w="0" w:type="dxa"/>
            <w:right w:w="108" w:type="dxa"/>
          </w:tblCellMar>
        </w:tblPrEx>
        <w:trPr>
          <w:trHeight w:val="570" w:hRule="atLeast"/>
        </w:trPr>
        <w:tc>
          <w:tcPr>
            <w:tcW w:w="673" w:type="pct"/>
            <w:tcBorders>
              <w:top w:val="single" w:color="auto" w:sz="4" w:space="0"/>
              <w:left w:val="single" w:color="auto" w:sz="4" w:space="0"/>
              <w:bottom w:val="single" w:color="auto" w:sz="4" w:space="0"/>
              <w:right w:val="single" w:color="auto" w:sz="4" w:space="0"/>
            </w:tcBorders>
            <w:shd w:val="clear" w:color="auto" w:fill="auto"/>
            <w:vAlign w:val="center"/>
          </w:tcPr>
          <w:p w14:paraId="7722E2D2">
            <w:pPr>
              <w:widowControl/>
              <w:jc w:val="center"/>
              <w:rPr>
                <w:rFonts w:ascii="Times New Roman" w:hAnsi="Times New Roman" w:cs="Times New Roman" w:eastAsiaTheme="minorEastAsia"/>
                <w:kern w:val="0"/>
                <w:szCs w:val="21"/>
              </w:rPr>
            </w:pPr>
            <w:r>
              <w:rPr>
                <w:rFonts w:ascii="Times New Roman" w:cs="Times New Roman" w:hAnsiTheme="minorEastAsia" w:eastAsiaTheme="minorEastAsia"/>
                <w:kern w:val="0"/>
                <w:szCs w:val="21"/>
              </w:rPr>
              <w:t>区片编号</w:t>
            </w:r>
          </w:p>
        </w:tc>
        <w:tc>
          <w:tcPr>
            <w:tcW w:w="923" w:type="pct"/>
            <w:tcBorders>
              <w:top w:val="single" w:color="auto" w:sz="4" w:space="0"/>
              <w:left w:val="nil"/>
              <w:bottom w:val="single" w:color="auto" w:sz="4" w:space="0"/>
              <w:right w:val="single" w:color="auto" w:sz="4" w:space="0"/>
            </w:tcBorders>
            <w:shd w:val="clear" w:color="auto" w:fill="auto"/>
            <w:vAlign w:val="center"/>
          </w:tcPr>
          <w:p w14:paraId="016992D3">
            <w:pPr>
              <w:widowControl/>
              <w:jc w:val="center"/>
              <w:rPr>
                <w:rFonts w:ascii="Times New Roman" w:hAnsi="Times New Roman" w:cs="Times New Roman" w:eastAsiaTheme="minorEastAsia"/>
                <w:kern w:val="0"/>
                <w:szCs w:val="21"/>
              </w:rPr>
            </w:pPr>
            <w:r>
              <w:rPr>
                <w:rFonts w:ascii="Times New Roman" w:cs="Times New Roman" w:hAnsiTheme="minorEastAsia" w:eastAsiaTheme="minorEastAsia"/>
                <w:kern w:val="0"/>
                <w:szCs w:val="21"/>
              </w:rPr>
              <w:t>区片综合地价</w:t>
            </w:r>
          </w:p>
        </w:tc>
        <w:tc>
          <w:tcPr>
            <w:tcW w:w="1513" w:type="pct"/>
            <w:tcBorders>
              <w:top w:val="single" w:color="auto" w:sz="4" w:space="0"/>
              <w:left w:val="nil"/>
              <w:bottom w:val="single" w:color="auto" w:sz="4" w:space="0"/>
              <w:right w:val="single" w:color="auto" w:sz="4" w:space="0"/>
            </w:tcBorders>
            <w:shd w:val="clear" w:color="auto" w:fill="auto"/>
            <w:vAlign w:val="center"/>
          </w:tcPr>
          <w:p w14:paraId="6079C9C4">
            <w:pPr>
              <w:widowControl/>
              <w:jc w:val="center"/>
              <w:rPr>
                <w:rFonts w:ascii="Times New Roman" w:hAnsi="Times New Roman" w:cs="Times New Roman" w:eastAsiaTheme="minorEastAsia"/>
                <w:kern w:val="0"/>
                <w:szCs w:val="21"/>
              </w:rPr>
            </w:pPr>
            <w:r>
              <w:rPr>
                <w:rFonts w:ascii="Times New Roman" w:cs="Times New Roman" w:hAnsiTheme="minorEastAsia" w:eastAsiaTheme="minorEastAsia"/>
                <w:kern w:val="0"/>
                <w:szCs w:val="21"/>
              </w:rPr>
              <w:t>省政府</w:t>
            </w:r>
            <w:r>
              <w:rPr>
                <w:rFonts w:ascii="Times New Roman" w:hAnsi="Times New Roman" w:cs="Times New Roman" w:eastAsiaTheme="minorEastAsia"/>
                <w:kern w:val="0"/>
                <w:szCs w:val="21"/>
              </w:rPr>
              <w:t>2014</w:t>
            </w:r>
            <w:r>
              <w:rPr>
                <w:rFonts w:ascii="Times New Roman" w:cs="Times New Roman" w:hAnsiTheme="minorEastAsia" w:eastAsiaTheme="minorEastAsia"/>
                <w:kern w:val="0"/>
                <w:szCs w:val="21"/>
              </w:rPr>
              <w:t>年公布标准分类</w:t>
            </w:r>
          </w:p>
        </w:tc>
        <w:tc>
          <w:tcPr>
            <w:tcW w:w="1298" w:type="pct"/>
            <w:tcBorders>
              <w:top w:val="single" w:color="auto" w:sz="4" w:space="0"/>
              <w:left w:val="nil"/>
              <w:bottom w:val="single" w:color="auto" w:sz="4" w:space="0"/>
              <w:right w:val="single" w:color="auto" w:sz="4" w:space="0"/>
            </w:tcBorders>
            <w:shd w:val="clear" w:color="auto" w:fill="auto"/>
            <w:vAlign w:val="center"/>
          </w:tcPr>
          <w:p w14:paraId="4AFDE9E5">
            <w:pPr>
              <w:widowControl/>
              <w:jc w:val="center"/>
              <w:rPr>
                <w:rFonts w:ascii="Times New Roman" w:hAnsi="Times New Roman" w:cs="Times New Roman" w:eastAsiaTheme="minorEastAsia"/>
                <w:kern w:val="0"/>
                <w:szCs w:val="21"/>
              </w:rPr>
            </w:pPr>
            <w:r>
              <w:rPr>
                <w:rFonts w:ascii="Times New Roman" w:cs="Times New Roman" w:hAnsiTheme="minorEastAsia" w:eastAsiaTheme="minorEastAsia"/>
                <w:kern w:val="0"/>
                <w:szCs w:val="21"/>
              </w:rPr>
              <w:t>省政府</w:t>
            </w:r>
            <w:r>
              <w:rPr>
                <w:rFonts w:ascii="Times New Roman" w:hAnsi="Times New Roman" w:cs="Times New Roman" w:eastAsiaTheme="minorEastAsia"/>
                <w:kern w:val="0"/>
                <w:szCs w:val="21"/>
              </w:rPr>
              <w:t>2014</w:t>
            </w:r>
            <w:r>
              <w:rPr>
                <w:rFonts w:ascii="Times New Roman" w:cs="Times New Roman" w:hAnsiTheme="minorEastAsia" w:eastAsiaTheme="minorEastAsia"/>
                <w:kern w:val="0"/>
                <w:szCs w:val="21"/>
              </w:rPr>
              <w:t>年公布标准</w:t>
            </w:r>
          </w:p>
        </w:tc>
        <w:tc>
          <w:tcPr>
            <w:tcW w:w="593" w:type="pct"/>
            <w:tcBorders>
              <w:top w:val="single" w:color="auto" w:sz="4" w:space="0"/>
              <w:left w:val="nil"/>
              <w:bottom w:val="single" w:color="auto" w:sz="4" w:space="0"/>
              <w:right w:val="single" w:color="auto" w:sz="4" w:space="0"/>
            </w:tcBorders>
            <w:shd w:val="clear" w:color="auto" w:fill="auto"/>
            <w:vAlign w:val="center"/>
          </w:tcPr>
          <w:p w14:paraId="6E5DA374">
            <w:pPr>
              <w:widowControl/>
              <w:jc w:val="center"/>
              <w:rPr>
                <w:rFonts w:ascii="Times New Roman" w:hAnsi="Times New Roman" w:cs="Times New Roman" w:eastAsiaTheme="minorEastAsia"/>
                <w:kern w:val="0"/>
                <w:szCs w:val="21"/>
              </w:rPr>
            </w:pPr>
            <w:r>
              <w:rPr>
                <w:rFonts w:ascii="Times New Roman" w:cs="Times New Roman" w:hAnsiTheme="minorEastAsia" w:eastAsiaTheme="minorEastAsia"/>
                <w:kern w:val="0"/>
                <w:szCs w:val="21"/>
              </w:rPr>
              <w:t>变化幅度</w:t>
            </w:r>
          </w:p>
        </w:tc>
      </w:tr>
      <w:tr w14:paraId="2557E99F">
        <w:tblPrEx>
          <w:tblCellMar>
            <w:top w:w="0" w:type="dxa"/>
            <w:left w:w="108" w:type="dxa"/>
            <w:bottom w:w="0" w:type="dxa"/>
            <w:right w:w="108" w:type="dxa"/>
          </w:tblCellMar>
        </w:tblPrEx>
        <w:trPr>
          <w:trHeight w:val="369" w:hRule="exact"/>
        </w:trPr>
        <w:tc>
          <w:tcPr>
            <w:tcW w:w="673" w:type="pct"/>
            <w:tcBorders>
              <w:top w:val="nil"/>
              <w:left w:val="single" w:color="auto" w:sz="4" w:space="0"/>
              <w:bottom w:val="single" w:color="auto" w:sz="4" w:space="0"/>
              <w:right w:val="single" w:color="auto" w:sz="4" w:space="0"/>
            </w:tcBorders>
            <w:shd w:val="clear" w:color="auto" w:fill="auto"/>
            <w:noWrap/>
            <w:vAlign w:val="center"/>
          </w:tcPr>
          <w:p w14:paraId="2ADD3B41">
            <w:pPr>
              <w:widowControl/>
              <w:jc w:val="center"/>
              <w:rPr>
                <w:rFonts w:ascii="Times New Roman" w:hAnsi="Times New Roman" w:cs="Times New Roman" w:eastAsiaTheme="minorEastAsia"/>
                <w:kern w:val="0"/>
                <w:szCs w:val="21"/>
              </w:rPr>
            </w:pPr>
            <w:r>
              <w:rPr>
                <w:rFonts w:ascii="Times New Roman" w:hAnsi="Times New Roman" w:cs="Times New Roman" w:eastAsiaTheme="minorEastAsia"/>
                <w:kern w:val="0"/>
                <w:szCs w:val="21"/>
              </w:rPr>
              <w:t>I</w:t>
            </w:r>
          </w:p>
        </w:tc>
        <w:tc>
          <w:tcPr>
            <w:tcW w:w="923" w:type="pct"/>
            <w:tcBorders>
              <w:top w:val="single" w:color="auto" w:sz="4" w:space="0"/>
              <w:left w:val="nil"/>
              <w:bottom w:val="single" w:color="auto" w:sz="4" w:space="0"/>
              <w:right w:val="single" w:color="auto" w:sz="4" w:space="0"/>
            </w:tcBorders>
            <w:shd w:val="clear" w:color="auto" w:fill="auto"/>
            <w:vAlign w:val="center"/>
          </w:tcPr>
          <w:p w14:paraId="66C5096C">
            <w:pPr>
              <w:widowControl/>
              <w:jc w:val="center"/>
              <w:rPr>
                <w:rFonts w:ascii="Times New Roman" w:hAnsi="Times New Roman" w:cs="Times New Roman" w:eastAsiaTheme="minorEastAsia"/>
                <w:kern w:val="0"/>
                <w:szCs w:val="21"/>
              </w:rPr>
            </w:pPr>
            <w:r>
              <w:rPr>
                <w:rFonts w:ascii="Times New Roman" w:hAnsi="Times New Roman" w:cs="Times New Roman" w:eastAsiaTheme="minorEastAsia"/>
                <w:kern w:val="0"/>
                <w:szCs w:val="21"/>
              </w:rPr>
              <w:t>52700</w:t>
            </w:r>
          </w:p>
        </w:tc>
        <w:tc>
          <w:tcPr>
            <w:tcW w:w="1513" w:type="pct"/>
            <w:tcBorders>
              <w:top w:val="single" w:color="auto" w:sz="4" w:space="0"/>
              <w:left w:val="nil"/>
              <w:bottom w:val="single" w:color="auto" w:sz="4" w:space="0"/>
              <w:right w:val="single" w:color="auto" w:sz="4" w:space="0"/>
            </w:tcBorders>
            <w:shd w:val="clear" w:color="auto" w:fill="auto"/>
            <w:vAlign w:val="center"/>
          </w:tcPr>
          <w:p w14:paraId="467DD5AA">
            <w:pPr>
              <w:widowControl/>
              <w:jc w:val="center"/>
              <w:rPr>
                <w:rFonts w:ascii="Times New Roman" w:hAnsi="Times New Roman" w:cs="Times New Roman" w:eastAsiaTheme="minorEastAsia"/>
                <w:kern w:val="0"/>
                <w:szCs w:val="21"/>
              </w:rPr>
            </w:pPr>
            <w:r>
              <w:rPr>
                <w:rFonts w:ascii="Times New Roman" w:cs="Times New Roman" w:hAnsiTheme="minorEastAsia" w:eastAsiaTheme="minorEastAsia"/>
                <w:kern w:val="0"/>
                <w:szCs w:val="21"/>
              </w:rPr>
              <w:t>一类区</w:t>
            </w:r>
          </w:p>
        </w:tc>
        <w:tc>
          <w:tcPr>
            <w:tcW w:w="1298" w:type="pct"/>
            <w:tcBorders>
              <w:top w:val="nil"/>
              <w:left w:val="nil"/>
              <w:bottom w:val="single" w:color="auto" w:sz="4" w:space="0"/>
              <w:right w:val="single" w:color="auto" w:sz="4" w:space="0"/>
            </w:tcBorders>
            <w:shd w:val="clear" w:color="auto" w:fill="auto"/>
            <w:noWrap/>
            <w:vAlign w:val="center"/>
          </w:tcPr>
          <w:p w14:paraId="73DF3276">
            <w:pPr>
              <w:widowControl/>
              <w:jc w:val="center"/>
              <w:rPr>
                <w:rFonts w:ascii="Times New Roman" w:hAnsi="Times New Roman" w:cs="Times New Roman" w:eastAsiaTheme="minorEastAsia"/>
                <w:kern w:val="0"/>
                <w:szCs w:val="21"/>
              </w:rPr>
            </w:pPr>
            <w:r>
              <w:rPr>
                <w:rFonts w:ascii="Times New Roman" w:hAnsi="Times New Roman" w:cs="Times New Roman" w:eastAsiaTheme="minorEastAsia"/>
                <w:kern w:val="0"/>
                <w:szCs w:val="21"/>
              </w:rPr>
              <w:t>42870</w:t>
            </w:r>
          </w:p>
        </w:tc>
        <w:tc>
          <w:tcPr>
            <w:tcW w:w="593" w:type="pct"/>
            <w:tcBorders>
              <w:top w:val="nil"/>
              <w:left w:val="nil"/>
              <w:bottom w:val="single" w:color="auto" w:sz="4" w:space="0"/>
              <w:right w:val="single" w:color="auto" w:sz="4" w:space="0"/>
            </w:tcBorders>
            <w:shd w:val="clear" w:color="auto" w:fill="auto"/>
            <w:vAlign w:val="center"/>
          </w:tcPr>
          <w:p w14:paraId="10E8C123">
            <w:pPr>
              <w:widowControl/>
              <w:jc w:val="center"/>
              <w:rPr>
                <w:rFonts w:ascii="Times New Roman" w:hAnsi="Times New Roman" w:cs="Times New Roman" w:eastAsiaTheme="minorEastAsia"/>
                <w:kern w:val="0"/>
                <w:szCs w:val="21"/>
              </w:rPr>
            </w:pPr>
            <w:r>
              <w:rPr>
                <w:rFonts w:ascii="Times New Roman" w:hAnsi="Times New Roman" w:cs="Times New Roman" w:eastAsiaTheme="minorEastAsia"/>
                <w:kern w:val="0"/>
                <w:szCs w:val="21"/>
              </w:rPr>
              <w:t>22.93%</w:t>
            </w:r>
          </w:p>
        </w:tc>
      </w:tr>
    </w:tbl>
    <w:p w14:paraId="7F2F44D5">
      <w:pPr>
        <w:spacing w:line="360" w:lineRule="auto"/>
        <w:outlineLvl w:val="0"/>
        <w:rPr>
          <w:rFonts w:ascii="Times New Roman" w:hAnsi="Times New Roman" w:eastAsia="黑体" w:cs="Times New Roman"/>
          <w:b/>
          <w:bCs/>
          <w:sz w:val="30"/>
          <w:szCs w:val="30"/>
        </w:rPr>
      </w:pPr>
      <w:r>
        <w:rPr>
          <w:rFonts w:hint="eastAsia" w:ascii="Times New Roman" w:hAnsi="Times New Roman" w:eastAsia="黑体" w:cs="Times New Roman"/>
          <w:b/>
          <w:bCs/>
          <w:sz w:val="30"/>
          <w:szCs w:val="30"/>
        </w:rPr>
        <w:t>六、使用说明</w:t>
      </w:r>
      <w:bookmarkEnd w:id="9"/>
      <w:bookmarkEnd w:id="10"/>
      <w:bookmarkEnd w:id="11"/>
    </w:p>
    <w:p w14:paraId="7448AE6B">
      <w:pPr>
        <w:spacing w:line="360" w:lineRule="auto"/>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（一）区片综合地价只包括征地补偿费和安置补助费，不包括青苗补偿费、地上附着物补偿费、被征地农民社会保障费用等费用。</w:t>
      </w:r>
    </w:p>
    <w:p w14:paraId="1508F1F5">
      <w:pPr>
        <w:spacing w:line="360" w:lineRule="auto"/>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（二）本次测算范围不包括集体建设用地、集体未利用地和国有农用地。涉及征收上述地类的，可按照“就高不就低”的原则，参照相邻区片执行。</w:t>
      </w:r>
    </w:p>
    <w:p w14:paraId="77708A1E">
      <w:pPr>
        <w:spacing w:line="360" w:lineRule="auto"/>
        <w:ind w:firstLine="560" w:firstLineChars="200"/>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（三）林木补偿费用和森林植被恢复费，按照国家有关规定和《云南省林地管理条例》规定的标准进行测算。</w:t>
      </w:r>
    </w:p>
    <w:p w14:paraId="3FEAE460">
      <w:pPr>
        <w:spacing w:line="360" w:lineRule="auto"/>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四）地类修正。为保障区域征地补偿标准的协调平衡，根据瑞丽市近年实际征地情况，具体测算出各地类的实际补偿比例水平，然后采用算术平均初步确定瑞丽市地类调节系数为：水田1.3，水浇地0.8，旱地1.0，园地1.3，农村道路、坑塘水面、水库水面、沟渠、设施农用地均为1.3，林地和草地分别为0.6、0.5，集体建设用地参照水田设定，田坎随其涉及的地类设定。</w:t>
      </w:r>
    </w:p>
    <w:p w14:paraId="5DC1B78B">
      <w:pPr>
        <w:widowControl/>
        <w:jc w:val="left"/>
        <w:rPr>
          <w:rFonts w:ascii="Times New Roman" w:hAnsi="Times New Roman" w:eastAsia="仿宋_GB2312" w:cs="Times New Roman"/>
          <w:b/>
          <w:sz w:val="24"/>
        </w:rPr>
      </w:pPr>
      <w:r>
        <w:rPr>
          <w:rFonts w:ascii="Times New Roman" w:hAnsi="Times New Roman" w:eastAsia="仿宋_GB2312" w:cs="Times New Roman"/>
          <w:b/>
          <w:sz w:val="24"/>
        </w:rPr>
        <w:br w:type="page"/>
      </w:r>
    </w:p>
    <w:p w14:paraId="17AD6296">
      <w:pPr>
        <w:spacing w:beforeLines="100"/>
        <w:ind w:firstLine="482" w:firstLineChars="200"/>
        <w:jc w:val="center"/>
        <w:rPr>
          <w:rFonts w:ascii="Times New Roman" w:hAnsi="Times New Roman" w:eastAsia="仿宋_GB2312" w:cs="Times New Roman"/>
          <w:sz w:val="28"/>
          <w:szCs w:val="28"/>
        </w:rPr>
      </w:pPr>
      <w:r>
        <w:rPr>
          <w:rFonts w:ascii="Times New Roman" w:hAnsi="Times New Roman" w:eastAsia="仿宋_GB2312" w:cs="Times New Roman"/>
          <w:b/>
          <w:sz w:val="24"/>
        </w:rPr>
        <w:t>表</w:t>
      </w:r>
      <w:r>
        <w:rPr>
          <w:rFonts w:hint="eastAsia" w:ascii="Times New Roman" w:hAnsi="Times New Roman" w:eastAsia="仿宋_GB2312" w:cs="Times New Roman"/>
          <w:b/>
          <w:sz w:val="24"/>
        </w:rPr>
        <w:t xml:space="preserve">4 </w:t>
      </w:r>
      <w:r>
        <w:rPr>
          <w:rFonts w:ascii="Times New Roman" w:hAnsi="Times New Roman" w:eastAsia="仿宋_GB2312" w:cs="Times New Roman"/>
          <w:b/>
          <w:sz w:val="24"/>
        </w:rPr>
        <w:t xml:space="preserve"> </w:t>
      </w:r>
      <w:r>
        <w:rPr>
          <w:rFonts w:hint="eastAsia" w:ascii="Times New Roman" w:hAnsi="Times New Roman" w:eastAsia="仿宋_GB2312" w:cs="Times New Roman"/>
          <w:b/>
          <w:sz w:val="24"/>
        </w:rPr>
        <w:t>瑞丽市区片综合地价结果表</w:t>
      </w:r>
    </w:p>
    <w:tbl>
      <w:tblPr>
        <w:tblStyle w:val="10"/>
        <w:tblW w:w="5000" w:type="pct"/>
        <w:tblInd w:w="0" w:type="dxa"/>
        <w:tblLayout w:type="autofit"/>
        <w:tblCellMar>
          <w:top w:w="0" w:type="dxa"/>
          <w:left w:w="108" w:type="dxa"/>
          <w:bottom w:w="0" w:type="dxa"/>
          <w:right w:w="108" w:type="dxa"/>
        </w:tblCellMar>
      </w:tblPr>
      <w:tblGrid>
        <w:gridCol w:w="1977"/>
        <w:gridCol w:w="1977"/>
        <w:gridCol w:w="2638"/>
        <w:gridCol w:w="2638"/>
      </w:tblGrid>
      <w:tr w14:paraId="659FEA2C">
        <w:tblPrEx>
          <w:tblCellMar>
            <w:top w:w="0" w:type="dxa"/>
            <w:left w:w="108" w:type="dxa"/>
            <w:bottom w:w="0" w:type="dxa"/>
            <w:right w:w="108" w:type="dxa"/>
          </w:tblCellMar>
        </w:tblPrEx>
        <w:trPr>
          <w:trHeight w:val="270" w:hRule="atLeast"/>
        </w:trPr>
        <w:tc>
          <w:tcPr>
            <w:tcW w:w="2142" w:type="pct"/>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1AD44632">
            <w:pPr>
              <w:widowControl/>
              <w:jc w:val="center"/>
              <w:rPr>
                <w:rFonts w:ascii="Times New Roman" w:hAnsi="Times New Roman" w:cs="Times New Roman"/>
                <w:kern w:val="0"/>
                <w:szCs w:val="21"/>
              </w:rPr>
            </w:pPr>
            <w:r>
              <w:rPr>
                <w:rFonts w:ascii="Times New Roman" w:hAnsi="宋体" w:cs="Times New Roman"/>
                <w:kern w:val="0"/>
                <w:szCs w:val="21"/>
              </w:rPr>
              <w:t>地类名称</w:t>
            </w:r>
            <w:r>
              <w:rPr>
                <w:rFonts w:hint="eastAsia" w:ascii="Times New Roman" w:hAnsi="宋体" w:cs="Times New Roman"/>
                <w:kern w:val="0"/>
                <w:szCs w:val="21"/>
              </w:rPr>
              <w:t xml:space="preserve">           </w:t>
            </w:r>
            <w:r>
              <w:rPr>
                <w:rFonts w:ascii="Times New Roman" w:hAnsi="Times New Roman" w:cs="Times New Roman"/>
                <w:kern w:val="0"/>
                <w:szCs w:val="21"/>
              </w:rPr>
              <w:t xml:space="preserve">   </w:t>
            </w:r>
            <w:r>
              <w:rPr>
                <w:rFonts w:ascii="Times New Roman" w:hAnsi="宋体" w:cs="Times New Roman"/>
                <w:kern w:val="0"/>
                <w:szCs w:val="21"/>
              </w:rPr>
              <w:t>区片编号</w:t>
            </w:r>
          </w:p>
        </w:tc>
        <w:tc>
          <w:tcPr>
            <w:tcW w:w="2858" w:type="pct"/>
            <w:gridSpan w:val="2"/>
            <w:tcBorders>
              <w:top w:val="single" w:color="auto" w:sz="4" w:space="0"/>
              <w:left w:val="nil"/>
              <w:bottom w:val="single" w:color="auto" w:sz="4" w:space="0"/>
              <w:right w:val="single" w:color="000000" w:sz="4" w:space="0"/>
            </w:tcBorders>
            <w:shd w:val="clear" w:color="auto" w:fill="auto"/>
            <w:noWrap/>
            <w:vAlign w:val="center"/>
          </w:tcPr>
          <w:p w14:paraId="46284C82">
            <w:pPr>
              <w:widowControl/>
              <w:jc w:val="center"/>
              <w:rPr>
                <w:rFonts w:ascii="Times New Roman" w:hAnsi="Times New Roman" w:cs="Times New Roman"/>
                <w:kern w:val="0"/>
                <w:szCs w:val="21"/>
              </w:rPr>
            </w:pPr>
            <w:r>
              <w:rPr>
                <w:rFonts w:ascii="Times New Roman" w:hAnsi="Times New Roman" w:cs="Times New Roman"/>
                <w:kern w:val="0"/>
                <w:szCs w:val="21"/>
              </w:rPr>
              <w:t>I</w:t>
            </w:r>
          </w:p>
        </w:tc>
      </w:tr>
      <w:tr w14:paraId="5AFB9D72">
        <w:tblPrEx>
          <w:tblCellMar>
            <w:top w:w="0" w:type="dxa"/>
            <w:left w:w="108" w:type="dxa"/>
            <w:bottom w:w="0" w:type="dxa"/>
            <w:right w:w="108" w:type="dxa"/>
          </w:tblCellMar>
        </w:tblPrEx>
        <w:trPr>
          <w:trHeight w:val="270" w:hRule="atLeast"/>
        </w:trPr>
        <w:tc>
          <w:tcPr>
            <w:tcW w:w="2142"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616A89A1">
            <w:pPr>
              <w:widowControl/>
              <w:jc w:val="center"/>
              <w:rPr>
                <w:rFonts w:ascii="Times New Roman" w:hAnsi="Times New Roman" w:cs="Times New Roman"/>
                <w:kern w:val="0"/>
                <w:szCs w:val="21"/>
              </w:rPr>
            </w:pPr>
          </w:p>
        </w:tc>
        <w:tc>
          <w:tcPr>
            <w:tcW w:w="1429" w:type="pct"/>
            <w:tcBorders>
              <w:top w:val="nil"/>
              <w:left w:val="nil"/>
              <w:bottom w:val="single" w:color="auto" w:sz="4" w:space="0"/>
              <w:right w:val="single" w:color="auto" w:sz="4" w:space="0"/>
            </w:tcBorders>
            <w:shd w:val="clear" w:color="auto" w:fill="auto"/>
            <w:noWrap/>
            <w:vAlign w:val="center"/>
          </w:tcPr>
          <w:p w14:paraId="3A13E73C">
            <w:pPr>
              <w:widowControl/>
              <w:jc w:val="center"/>
              <w:rPr>
                <w:rFonts w:ascii="Times New Roman" w:hAnsi="Times New Roman" w:cs="Times New Roman"/>
                <w:kern w:val="0"/>
                <w:szCs w:val="21"/>
              </w:rPr>
            </w:pPr>
            <w:r>
              <w:rPr>
                <w:rFonts w:ascii="Times New Roman" w:hAnsi="宋体" w:cs="Times New Roman"/>
                <w:kern w:val="0"/>
                <w:szCs w:val="21"/>
              </w:rPr>
              <w:t>区片综合地价</w:t>
            </w:r>
          </w:p>
        </w:tc>
        <w:tc>
          <w:tcPr>
            <w:tcW w:w="1429" w:type="pct"/>
            <w:tcBorders>
              <w:top w:val="nil"/>
              <w:left w:val="nil"/>
              <w:bottom w:val="single" w:color="auto" w:sz="4" w:space="0"/>
              <w:right w:val="single" w:color="auto" w:sz="4" w:space="0"/>
            </w:tcBorders>
            <w:shd w:val="clear" w:color="auto" w:fill="auto"/>
            <w:noWrap/>
            <w:vAlign w:val="center"/>
          </w:tcPr>
          <w:p w14:paraId="7EB5233C">
            <w:pPr>
              <w:widowControl/>
              <w:jc w:val="center"/>
              <w:rPr>
                <w:rFonts w:ascii="Times New Roman" w:hAnsi="Times New Roman" w:cs="Times New Roman"/>
                <w:kern w:val="0"/>
                <w:szCs w:val="21"/>
              </w:rPr>
            </w:pPr>
            <w:r>
              <w:rPr>
                <w:rFonts w:ascii="Times New Roman" w:hAnsi="Times New Roman" w:cs="Times New Roman"/>
                <w:kern w:val="0"/>
                <w:szCs w:val="21"/>
              </w:rPr>
              <w:t>52700</w:t>
            </w:r>
          </w:p>
        </w:tc>
      </w:tr>
      <w:tr w14:paraId="2C12D39E">
        <w:tblPrEx>
          <w:tblCellMar>
            <w:top w:w="0" w:type="dxa"/>
            <w:left w:w="108" w:type="dxa"/>
            <w:bottom w:w="0" w:type="dxa"/>
            <w:right w:w="108" w:type="dxa"/>
          </w:tblCellMar>
        </w:tblPrEx>
        <w:trPr>
          <w:trHeight w:val="270" w:hRule="atLeast"/>
        </w:trPr>
        <w:tc>
          <w:tcPr>
            <w:tcW w:w="2142"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42302BF8">
            <w:pPr>
              <w:widowControl/>
              <w:jc w:val="center"/>
              <w:rPr>
                <w:rFonts w:ascii="Times New Roman" w:hAnsi="Times New Roman" w:cs="Times New Roman"/>
                <w:kern w:val="0"/>
                <w:szCs w:val="21"/>
              </w:rPr>
            </w:pPr>
          </w:p>
        </w:tc>
        <w:tc>
          <w:tcPr>
            <w:tcW w:w="1429" w:type="pct"/>
            <w:tcBorders>
              <w:top w:val="nil"/>
              <w:left w:val="nil"/>
              <w:bottom w:val="single" w:color="auto" w:sz="4" w:space="0"/>
              <w:right w:val="single" w:color="auto" w:sz="4" w:space="0"/>
            </w:tcBorders>
            <w:shd w:val="clear" w:color="auto" w:fill="auto"/>
            <w:noWrap/>
            <w:vAlign w:val="center"/>
          </w:tcPr>
          <w:p w14:paraId="5915D8BA">
            <w:pPr>
              <w:widowControl/>
              <w:jc w:val="center"/>
              <w:rPr>
                <w:rFonts w:ascii="Times New Roman" w:hAnsi="Times New Roman" w:cs="Times New Roman"/>
                <w:kern w:val="0"/>
                <w:szCs w:val="21"/>
              </w:rPr>
            </w:pPr>
            <w:r>
              <w:rPr>
                <w:rFonts w:ascii="Times New Roman" w:hAnsi="宋体" w:cs="Times New Roman"/>
                <w:kern w:val="0"/>
                <w:szCs w:val="21"/>
              </w:rPr>
              <w:t>分地类调节系数</w:t>
            </w:r>
          </w:p>
        </w:tc>
        <w:tc>
          <w:tcPr>
            <w:tcW w:w="1429" w:type="pct"/>
            <w:tcBorders>
              <w:top w:val="nil"/>
              <w:left w:val="nil"/>
              <w:bottom w:val="single" w:color="auto" w:sz="4" w:space="0"/>
              <w:right w:val="single" w:color="auto" w:sz="4" w:space="0"/>
            </w:tcBorders>
            <w:shd w:val="clear" w:color="auto" w:fill="auto"/>
            <w:noWrap/>
            <w:vAlign w:val="center"/>
          </w:tcPr>
          <w:p w14:paraId="2ADB7747">
            <w:pPr>
              <w:widowControl/>
              <w:jc w:val="center"/>
              <w:rPr>
                <w:rFonts w:ascii="Times New Roman" w:hAnsi="Times New Roman" w:cs="Times New Roman"/>
                <w:kern w:val="0"/>
                <w:szCs w:val="21"/>
              </w:rPr>
            </w:pPr>
            <w:r>
              <w:rPr>
                <w:rFonts w:ascii="Times New Roman" w:hAnsi="宋体" w:cs="Times New Roman"/>
                <w:kern w:val="0"/>
                <w:szCs w:val="21"/>
              </w:rPr>
              <w:t>分地类补偿标准</w:t>
            </w:r>
          </w:p>
        </w:tc>
      </w:tr>
      <w:tr w14:paraId="5649483D">
        <w:tblPrEx>
          <w:tblCellMar>
            <w:top w:w="0" w:type="dxa"/>
            <w:left w:w="108" w:type="dxa"/>
            <w:bottom w:w="0" w:type="dxa"/>
            <w:right w:w="108" w:type="dxa"/>
          </w:tblCellMar>
        </w:tblPrEx>
        <w:trPr>
          <w:trHeight w:val="270" w:hRule="atLeast"/>
        </w:trPr>
        <w:tc>
          <w:tcPr>
            <w:tcW w:w="1071" w:type="pct"/>
            <w:vMerge w:val="restart"/>
            <w:tcBorders>
              <w:top w:val="nil"/>
              <w:left w:val="single" w:color="auto" w:sz="4" w:space="0"/>
              <w:bottom w:val="single" w:color="auto" w:sz="4" w:space="0"/>
              <w:right w:val="single" w:color="auto" w:sz="4" w:space="0"/>
            </w:tcBorders>
            <w:shd w:val="clear" w:color="auto" w:fill="auto"/>
            <w:noWrap/>
            <w:vAlign w:val="center"/>
          </w:tcPr>
          <w:p w14:paraId="2281CBB5">
            <w:pPr>
              <w:widowControl/>
              <w:jc w:val="center"/>
              <w:rPr>
                <w:rFonts w:ascii="Times New Roman" w:hAnsi="Times New Roman" w:cs="Times New Roman"/>
                <w:kern w:val="0"/>
                <w:szCs w:val="21"/>
              </w:rPr>
            </w:pPr>
            <w:r>
              <w:rPr>
                <w:rFonts w:ascii="Times New Roman" w:hAnsi="宋体" w:cs="Times New Roman"/>
                <w:kern w:val="0"/>
                <w:szCs w:val="21"/>
              </w:rPr>
              <w:t>耕地</w:t>
            </w:r>
          </w:p>
        </w:tc>
        <w:tc>
          <w:tcPr>
            <w:tcW w:w="1071" w:type="pct"/>
            <w:tcBorders>
              <w:top w:val="nil"/>
              <w:left w:val="nil"/>
              <w:bottom w:val="single" w:color="auto" w:sz="4" w:space="0"/>
              <w:right w:val="single" w:color="auto" w:sz="4" w:space="0"/>
            </w:tcBorders>
            <w:shd w:val="clear" w:color="auto" w:fill="auto"/>
            <w:noWrap/>
            <w:vAlign w:val="center"/>
          </w:tcPr>
          <w:p w14:paraId="0AD7D678">
            <w:pPr>
              <w:widowControl/>
              <w:jc w:val="center"/>
              <w:rPr>
                <w:rFonts w:ascii="Times New Roman" w:hAnsi="Times New Roman" w:cs="Times New Roman"/>
                <w:kern w:val="0"/>
                <w:szCs w:val="21"/>
              </w:rPr>
            </w:pPr>
            <w:r>
              <w:rPr>
                <w:rFonts w:ascii="Times New Roman" w:hAnsi="宋体" w:cs="Times New Roman"/>
                <w:kern w:val="0"/>
                <w:szCs w:val="21"/>
              </w:rPr>
              <w:t>水田</w:t>
            </w:r>
          </w:p>
        </w:tc>
        <w:tc>
          <w:tcPr>
            <w:tcW w:w="1429" w:type="pct"/>
            <w:tcBorders>
              <w:top w:val="nil"/>
              <w:left w:val="nil"/>
              <w:bottom w:val="single" w:color="auto" w:sz="4" w:space="0"/>
              <w:right w:val="single" w:color="auto" w:sz="4" w:space="0"/>
            </w:tcBorders>
            <w:shd w:val="clear" w:color="auto" w:fill="auto"/>
            <w:noWrap/>
            <w:vAlign w:val="center"/>
          </w:tcPr>
          <w:p w14:paraId="46876DF5">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4298047A">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5CB5B342">
        <w:tblPrEx>
          <w:tblCellMar>
            <w:top w:w="0" w:type="dxa"/>
            <w:left w:w="108" w:type="dxa"/>
            <w:bottom w:w="0" w:type="dxa"/>
            <w:right w:w="108" w:type="dxa"/>
          </w:tblCellMar>
        </w:tblPrEx>
        <w:trPr>
          <w:trHeight w:val="270" w:hRule="atLeast"/>
        </w:trPr>
        <w:tc>
          <w:tcPr>
            <w:tcW w:w="1071" w:type="pct"/>
            <w:vMerge w:val="continue"/>
            <w:tcBorders>
              <w:top w:val="nil"/>
              <w:left w:val="single" w:color="auto" w:sz="4" w:space="0"/>
              <w:bottom w:val="single" w:color="auto" w:sz="4" w:space="0"/>
              <w:right w:val="single" w:color="auto" w:sz="4" w:space="0"/>
            </w:tcBorders>
            <w:vAlign w:val="center"/>
          </w:tcPr>
          <w:p w14:paraId="3C150B0A">
            <w:pPr>
              <w:widowControl/>
              <w:jc w:val="center"/>
              <w:rPr>
                <w:rFonts w:ascii="Times New Roman" w:hAnsi="Times New Roman" w:cs="Times New Roman"/>
                <w:kern w:val="0"/>
                <w:szCs w:val="21"/>
              </w:rPr>
            </w:pPr>
          </w:p>
        </w:tc>
        <w:tc>
          <w:tcPr>
            <w:tcW w:w="1071" w:type="pct"/>
            <w:tcBorders>
              <w:top w:val="nil"/>
              <w:left w:val="nil"/>
              <w:bottom w:val="single" w:color="auto" w:sz="4" w:space="0"/>
              <w:right w:val="single" w:color="auto" w:sz="4" w:space="0"/>
            </w:tcBorders>
            <w:shd w:val="clear" w:color="auto" w:fill="auto"/>
            <w:noWrap/>
            <w:vAlign w:val="center"/>
          </w:tcPr>
          <w:p w14:paraId="4716EBA2">
            <w:pPr>
              <w:widowControl/>
              <w:jc w:val="center"/>
              <w:rPr>
                <w:rFonts w:ascii="Times New Roman" w:hAnsi="Times New Roman" w:cs="Times New Roman"/>
                <w:kern w:val="0"/>
                <w:szCs w:val="21"/>
              </w:rPr>
            </w:pPr>
            <w:r>
              <w:rPr>
                <w:rFonts w:ascii="Times New Roman" w:hAnsi="宋体" w:cs="Times New Roman"/>
                <w:kern w:val="0"/>
                <w:szCs w:val="21"/>
              </w:rPr>
              <w:t>水浇地</w:t>
            </w:r>
          </w:p>
        </w:tc>
        <w:tc>
          <w:tcPr>
            <w:tcW w:w="1429" w:type="pct"/>
            <w:tcBorders>
              <w:top w:val="nil"/>
              <w:left w:val="nil"/>
              <w:bottom w:val="single" w:color="auto" w:sz="4" w:space="0"/>
              <w:right w:val="single" w:color="auto" w:sz="4" w:space="0"/>
            </w:tcBorders>
            <w:shd w:val="clear" w:color="auto" w:fill="auto"/>
            <w:noWrap/>
            <w:vAlign w:val="center"/>
          </w:tcPr>
          <w:p w14:paraId="6B442BD1">
            <w:pPr>
              <w:widowControl/>
              <w:jc w:val="center"/>
              <w:rPr>
                <w:rFonts w:ascii="Times New Roman" w:hAnsi="Times New Roman" w:cs="Times New Roman"/>
                <w:kern w:val="0"/>
                <w:szCs w:val="21"/>
              </w:rPr>
            </w:pPr>
            <w:r>
              <w:rPr>
                <w:rFonts w:ascii="Times New Roman" w:hAnsi="Times New Roman" w:cs="Times New Roman"/>
                <w:kern w:val="0"/>
                <w:szCs w:val="21"/>
              </w:rPr>
              <w:t>0.8</w:t>
            </w:r>
          </w:p>
        </w:tc>
        <w:tc>
          <w:tcPr>
            <w:tcW w:w="1429" w:type="pct"/>
            <w:tcBorders>
              <w:top w:val="nil"/>
              <w:left w:val="nil"/>
              <w:bottom w:val="single" w:color="auto" w:sz="4" w:space="0"/>
              <w:right w:val="single" w:color="auto" w:sz="4" w:space="0"/>
            </w:tcBorders>
            <w:shd w:val="clear" w:color="auto" w:fill="auto"/>
            <w:noWrap/>
            <w:vAlign w:val="center"/>
          </w:tcPr>
          <w:p w14:paraId="568697E4">
            <w:pPr>
              <w:widowControl/>
              <w:jc w:val="center"/>
              <w:rPr>
                <w:rFonts w:ascii="Times New Roman" w:hAnsi="Times New Roman" w:cs="Times New Roman"/>
                <w:kern w:val="0"/>
                <w:szCs w:val="21"/>
              </w:rPr>
            </w:pPr>
            <w:r>
              <w:rPr>
                <w:rFonts w:ascii="Times New Roman" w:hAnsi="Times New Roman" w:cs="Times New Roman"/>
                <w:kern w:val="0"/>
                <w:szCs w:val="21"/>
              </w:rPr>
              <w:t>42200</w:t>
            </w:r>
          </w:p>
        </w:tc>
      </w:tr>
      <w:tr w14:paraId="3722035E">
        <w:tblPrEx>
          <w:tblCellMar>
            <w:top w:w="0" w:type="dxa"/>
            <w:left w:w="108" w:type="dxa"/>
            <w:bottom w:w="0" w:type="dxa"/>
            <w:right w:w="108" w:type="dxa"/>
          </w:tblCellMar>
        </w:tblPrEx>
        <w:trPr>
          <w:trHeight w:val="270" w:hRule="atLeast"/>
        </w:trPr>
        <w:tc>
          <w:tcPr>
            <w:tcW w:w="1071" w:type="pct"/>
            <w:vMerge w:val="continue"/>
            <w:tcBorders>
              <w:top w:val="nil"/>
              <w:left w:val="single" w:color="auto" w:sz="4" w:space="0"/>
              <w:bottom w:val="single" w:color="auto" w:sz="4" w:space="0"/>
              <w:right w:val="single" w:color="auto" w:sz="4" w:space="0"/>
            </w:tcBorders>
            <w:vAlign w:val="center"/>
          </w:tcPr>
          <w:p w14:paraId="4CC0823C">
            <w:pPr>
              <w:widowControl/>
              <w:jc w:val="center"/>
              <w:rPr>
                <w:rFonts w:ascii="Times New Roman" w:hAnsi="Times New Roman" w:cs="Times New Roman"/>
                <w:kern w:val="0"/>
                <w:szCs w:val="21"/>
              </w:rPr>
            </w:pPr>
          </w:p>
        </w:tc>
        <w:tc>
          <w:tcPr>
            <w:tcW w:w="1071" w:type="pct"/>
            <w:tcBorders>
              <w:top w:val="nil"/>
              <w:left w:val="nil"/>
              <w:bottom w:val="single" w:color="auto" w:sz="4" w:space="0"/>
              <w:right w:val="single" w:color="auto" w:sz="4" w:space="0"/>
            </w:tcBorders>
            <w:shd w:val="clear" w:color="auto" w:fill="auto"/>
            <w:noWrap/>
            <w:vAlign w:val="center"/>
          </w:tcPr>
          <w:p w14:paraId="34F1F19C">
            <w:pPr>
              <w:widowControl/>
              <w:jc w:val="center"/>
              <w:rPr>
                <w:rFonts w:ascii="Times New Roman" w:hAnsi="Times New Roman" w:cs="Times New Roman"/>
                <w:kern w:val="0"/>
                <w:szCs w:val="21"/>
              </w:rPr>
            </w:pPr>
            <w:r>
              <w:rPr>
                <w:rFonts w:ascii="Times New Roman" w:hAnsi="宋体" w:cs="Times New Roman"/>
                <w:kern w:val="0"/>
                <w:szCs w:val="21"/>
              </w:rPr>
              <w:t>旱地</w:t>
            </w:r>
          </w:p>
        </w:tc>
        <w:tc>
          <w:tcPr>
            <w:tcW w:w="1429" w:type="pct"/>
            <w:tcBorders>
              <w:top w:val="nil"/>
              <w:left w:val="nil"/>
              <w:bottom w:val="single" w:color="auto" w:sz="4" w:space="0"/>
              <w:right w:val="single" w:color="auto" w:sz="4" w:space="0"/>
            </w:tcBorders>
            <w:shd w:val="clear" w:color="auto" w:fill="auto"/>
            <w:noWrap/>
            <w:vAlign w:val="center"/>
          </w:tcPr>
          <w:p w14:paraId="7B8DD491">
            <w:pPr>
              <w:widowControl/>
              <w:jc w:val="center"/>
              <w:rPr>
                <w:rFonts w:ascii="Times New Roman" w:hAnsi="Times New Roman" w:cs="Times New Roman"/>
                <w:kern w:val="0"/>
                <w:szCs w:val="21"/>
              </w:rPr>
            </w:pPr>
            <w:r>
              <w:rPr>
                <w:rFonts w:ascii="Times New Roman" w:hAnsi="Times New Roman" w:cs="Times New Roman"/>
                <w:kern w:val="0"/>
                <w:szCs w:val="21"/>
              </w:rPr>
              <w:t>1</w:t>
            </w:r>
            <w:r>
              <w:rPr>
                <w:rFonts w:hint="eastAsia" w:ascii="Times New Roman" w:hAnsi="Times New Roman" w:cs="Times New Roman"/>
                <w:kern w:val="0"/>
                <w:szCs w:val="21"/>
              </w:rPr>
              <w:t>.0</w:t>
            </w:r>
          </w:p>
        </w:tc>
        <w:tc>
          <w:tcPr>
            <w:tcW w:w="1429" w:type="pct"/>
            <w:tcBorders>
              <w:top w:val="nil"/>
              <w:left w:val="nil"/>
              <w:bottom w:val="single" w:color="auto" w:sz="4" w:space="0"/>
              <w:right w:val="single" w:color="auto" w:sz="4" w:space="0"/>
            </w:tcBorders>
            <w:shd w:val="clear" w:color="auto" w:fill="auto"/>
            <w:noWrap/>
            <w:vAlign w:val="center"/>
          </w:tcPr>
          <w:p w14:paraId="50E09A14">
            <w:pPr>
              <w:widowControl/>
              <w:jc w:val="center"/>
              <w:rPr>
                <w:rFonts w:ascii="Times New Roman" w:hAnsi="Times New Roman" w:cs="Times New Roman"/>
                <w:kern w:val="0"/>
                <w:szCs w:val="21"/>
              </w:rPr>
            </w:pPr>
            <w:r>
              <w:rPr>
                <w:rFonts w:ascii="Times New Roman" w:hAnsi="Times New Roman" w:cs="Times New Roman"/>
                <w:kern w:val="0"/>
                <w:szCs w:val="21"/>
              </w:rPr>
              <w:t>52700</w:t>
            </w:r>
          </w:p>
        </w:tc>
      </w:tr>
      <w:tr w14:paraId="0F7795C3">
        <w:tblPrEx>
          <w:tblCellMar>
            <w:top w:w="0" w:type="dxa"/>
            <w:left w:w="108" w:type="dxa"/>
            <w:bottom w:w="0" w:type="dxa"/>
            <w:right w:w="108" w:type="dxa"/>
          </w:tblCellMar>
        </w:tblPrEx>
        <w:trPr>
          <w:trHeight w:val="270" w:hRule="atLeast"/>
        </w:trPr>
        <w:tc>
          <w:tcPr>
            <w:tcW w:w="2142" w:type="pct"/>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14:paraId="2BE11EEF">
            <w:pPr>
              <w:widowControl/>
              <w:jc w:val="center"/>
              <w:rPr>
                <w:rFonts w:ascii="Times New Roman" w:hAnsi="Times New Roman" w:cs="Times New Roman"/>
                <w:kern w:val="0"/>
                <w:szCs w:val="21"/>
              </w:rPr>
            </w:pPr>
            <w:r>
              <w:rPr>
                <w:rFonts w:ascii="Times New Roman" w:hAnsi="宋体" w:cs="Times New Roman"/>
                <w:kern w:val="0"/>
                <w:szCs w:val="21"/>
              </w:rPr>
              <w:t>园地</w:t>
            </w:r>
          </w:p>
        </w:tc>
        <w:tc>
          <w:tcPr>
            <w:tcW w:w="1429" w:type="pct"/>
            <w:tcBorders>
              <w:top w:val="nil"/>
              <w:left w:val="nil"/>
              <w:bottom w:val="single" w:color="auto" w:sz="4" w:space="0"/>
              <w:right w:val="single" w:color="auto" w:sz="4" w:space="0"/>
            </w:tcBorders>
            <w:shd w:val="clear" w:color="auto" w:fill="auto"/>
            <w:noWrap/>
            <w:vAlign w:val="center"/>
          </w:tcPr>
          <w:p w14:paraId="246D776C">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35B6B72C">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2BE8C2AD">
        <w:tblPrEx>
          <w:tblCellMar>
            <w:top w:w="0" w:type="dxa"/>
            <w:left w:w="108" w:type="dxa"/>
            <w:bottom w:w="0" w:type="dxa"/>
            <w:right w:w="108" w:type="dxa"/>
          </w:tblCellMar>
        </w:tblPrEx>
        <w:trPr>
          <w:trHeight w:val="270" w:hRule="atLeast"/>
        </w:trPr>
        <w:tc>
          <w:tcPr>
            <w:tcW w:w="2142" w:type="pct"/>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14:paraId="242A9F91">
            <w:pPr>
              <w:widowControl/>
              <w:jc w:val="center"/>
              <w:rPr>
                <w:rFonts w:ascii="Times New Roman" w:hAnsi="Times New Roman" w:cs="Times New Roman"/>
                <w:kern w:val="0"/>
                <w:szCs w:val="21"/>
              </w:rPr>
            </w:pPr>
            <w:r>
              <w:rPr>
                <w:rFonts w:ascii="Times New Roman" w:hAnsi="宋体" w:cs="Times New Roman"/>
                <w:kern w:val="0"/>
                <w:szCs w:val="21"/>
              </w:rPr>
              <w:t>林地</w:t>
            </w:r>
          </w:p>
        </w:tc>
        <w:tc>
          <w:tcPr>
            <w:tcW w:w="1429" w:type="pct"/>
            <w:tcBorders>
              <w:top w:val="nil"/>
              <w:left w:val="nil"/>
              <w:bottom w:val="single" w:color="auto" w:sz="4" w:space="0"/>
              <w:right w:val="single" w:color="auto" w:sz="4" w:space="0"/>
            </w:tcBorders>
            <w:shd w:val="clear" w:color="auto" w:fill="auto"/>
            <w:noWrap/>
            <w:vAlign w:val="center"/>
          </w:tcPr>
          <w:p w14:paraId="0EE584A1">
            <w:pPr>
              <w:widowControl/>
              <w:jc w:val="center"/>
              <w:rPr>
                <w:rFonts w:ascii="Times New Roman" w:hAnsi="Times New Roman" w:cs="Times New Roman"/>
                <w:kern w:val="0"/>
                <w:szCs w:val="21"/>
              </w:rPr>
            </w:pPr>
            <w:r>
              <w:rPr>
                <w:rFonts w:ascii="Times New Roman" w:hAnsi="Times New Roman" w:cs="Times New Roman"/>
                <w:kern w:val="0"/>
                <w:szCs w:val="21"/>
              </w:rPr>
              <w:t>0.6</w:t>
            </w:r>
          </w:p>
        </w:tc>
        <w:tc>
          <w:tcPr>
            <w:tcW w:w="1429" w:type="pct"/>
            <w:tcBorders>
              <w:top w:val="nil"/>
              <w:left w:val="nil"/>
              <w:bottom w:val="single" w:color="auto" w:sz="4" w:space="0"/>
              <w:right w:val="single" w:color="auto" w:sz="4" w:space="0"/>
            </w:tcBorders>
            <w:shd w:val="clear" w:color="auto" w:fill="auto"/>
            <w:noWrap/>
            <w:vAlign w:val="center"/>
          </w:tcPr>
          <w:p w14:paraId="0008D02D">
            <w:pPr>
              <w:widowControl/>
              <w:jc w:val="center"/>
              <w:rPr>
                <w:rFonts w:ascii="Times New Roman" w:hAnsi="Times New Roman" w:cs="Times New Roman"/>
                <w:kern w:val="0"/>
                <w:szCs w:val="21"/>
              </w:rPr>
            </w:pPr>
            <w:r>
              <w:rPr>
                <w:rFonts w:ascii="Times New Roman" w:hAnsi="Times New Roman" w:cs="Times New Roman"/>
                <w:kern w:val="0"/>
                <w:szCs w:val="21"/>
              </w:rPr>
              <w:t>31700</w:t>
            </w:r>
          </w:p>
        </w:tc>
      </w:tr>
      <w:tr w14:paraId="78331A92">
        <w:tblPrEx>
          <w:tblCellMar>
            <w:top w:w="0" w:type="dxa"/>
            <w:left w:w="108" w:type="dxa"/>
            <w:bottom w:w="0" w:type="dxa"/>
            <w:right w:w="108" w:type="dxa"/>
          </w:tblCellMar>
        </w:tblPrEx>
        <w:trPr>
          <w:trHeight w:val="270" w:hRule="atLeast"/>
        </w:trPr>
        <w:tc>
          <w:tcPr>
            <w:tcW w:w="2142" w:type="pct"/>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14:paraId="79E64C85">
            <w:pPr>
              <w:widowControl/>
              <w:jc w:val="center"/>
              <w:rPr>
                <w:rFonts w:ascii="Times New Roman" w:hAnsi="Times New Roman" w:cs="Times New Roman"/>
                <w:kern w:val="0"/>
                <w:szCs w:val="21"/>
              </w:rPr>
            </w:pPr>
            <w:r>
              <w:rPr>
                <w:rFonts w:ascii="Times New Roman" w:hAnsi="宋体" w:cs="Times New Roman"/>
                <w:kern w:val="0"/>
                <w:szCs w:val="21"/>
              </w:rPr>
              <w:t>草地</w:t>
            </w:r>
          </w:p>
        </w:tc>
        <w:tc>
          <w:tcPr>
            <w:tcW w:w="1429" w:type="pct"/>
            <w:tcBorders>
              <w:top w:val="nil"/>
              <w:left w:val="nil"/>
              <w:bottom w:val="single" w:color="auto" w:sz="4" w:space="0"/>
              <w:right w:val="single" w:color="auto" w:sz="4" w:space="0"/>
            </w:tcBorders>
            <w:shd w:val="clear" w:color="auto" w:fill="auto"/>
            <w:noWrap/>
            <w:vAlign w:val="center"/>
          </w:tcPr>
          <w:p w14:paraId="2DC39D81">
            <w:pPr>
              <w:widowControl/>
              <w:jc w:val="center"/>
              <w:rPr>
                <w:rFonts w:ascii="Times New Roman" w:hAnsi="Times New Roman" w:cs="Times New Roman"/>
                <w:kern w:val="0"/>
                <w:szCs w:val="21"/>
              </w:rPr>
            </w:pPr>
            <w:r>
              <w:rPr>
                <w:rFonts w:ascii="Times New Roman" w:hAnsi="Times New Roman" w:cs="Times New Roman"/>
                <w:kern w:val="0"/>
                <w:szCs w:val="21"/>
              </w:rPr>
              <w:t>0.5</w:t>
            </w:r>
          </w:p>
        </w:tc>
        <w:tc>
          <w:tcPr>
            <w:tcW w:w="1429" w:type="pct"/>
            <w:tcBorders>
              <w:top w:val="nil"/>
              <w:left w:val="nil"/>
              <w:bottom w:val="single" w:color="auto" w:sz="4" w:space="0"/>
              <w:right w:val="single" w:color="auto" w:sz="4" w:space="0"/>
            </w:tcBorders>
            <w:shd w:val="clear" w:color="auto" w:fill="auto"/>
            <w:noWrap/>
            <w:vAlign w:val="center"/>
          </w:tcPr>
          <w:p w14:paraId="658777D3">
            <w:pPr>
              <w:widowControl/>
              <w:jc w:val="center"/>
              <w:rPr>
                <w:rFonts w:ascii="Times New Roman" w:hAnsi="Times New Roman" w:cs="Times New Roman"/>
                <w:kern w:val="0"/>
                <w:szCs w:val="21"/>
              </w:rPr>
            </w:pPr>
            <w:r>
              <w:rPr>
                <w:rFonts w:ascii="Times New Roman" w:hAnsi="Times New Roman" w:cs="Times New Roman"/>
                <w:kern w:val="0"/>
                <w:szCs w:val="21"/>
              </w:rPr>
              <w:t>26400</w:t>
            </w:r>
          </w:p>
        </w:tc>
      </w:tr>
      <w:tr w14:paraId="7FAB58B5">
        <w:tblPrEx>
          <w:tblCellMar>
            <w:top w:w="0" w:type="dxa"/>
            <w:left w:w="108" w:type="dxa"/>
            <w:bottom w:w="0" w:type="dxa"/>
            <w:right w:w="108" w:type="dxa"/>
          </w:tblCellMar>
        </w:tblPrEx>
        <w:trPr>
          <w:trHeight w:val="285" w:hRule="atLeast"/>
        </w:trPr>
        <w:tc>
          <w:tcPr>
            <w:tcW w:w="1071" w:type="pct"/>
            <w:vMerge w:val="restart"/>
            <w:tcBorders>
              <w:top w:val="nil"/>
              <w:left w:val="single" w:color="auto" w:sz="4" w:space="0"/>
              <w:bottom w:val="single" w:color="000000" w:sz="4" w:space="0"/>
              <w:right w:val="single" w:color="auto" w:sz="4" w:space="0"/>
            </w:tcBorders>
            <w:shd w:val="clear" w:color="auto" w:fill="auto"/>
            <w:noWrap/>
            <w:vAlign w:val="center"/>
          </w:tcPr>
          <w:p w14:paraId="107D4CE2">
            <w:pPr>
              <w:widowControl/>
              <w:jc w:val="center"/>
              <w:rPr>
                <w:rFonts w:ascii="Times New Roman" w:hAnsi="Times New Roman" w:cs="Times New Roman"/>
                <w:kern w:val="0"/>
                <w:szCs w:val="21"/>
              </w:rPr>
            </w:pPr>
            <w:r>
              <w:rPr>
                <w:rFonts w:ascii="Times New Roman" w:hAnsi="宋体" w:cs="Times New Roman"/>
                <w:kern w:val="0"/>
                <w:szCs w:val="21"/>
              </w:rPr>
              <w:t>其他农用地</w:t>
            </w:r>
          </w:p>
        </w:tc>
        <w:tc>
          <w:tcPr>
            <w:tcW w:w="1071" w:type="pct"/>
            <w:tcBorders>
              <w:top w:val="nil"/>
              <w:left w:val="nil"/>
              <w:bottom w:val="single" w:color="auto" w:sz="4" w:space="0"/>
              <w:right w:val="single" w:color="auto" w:sz="4" w:space="0"/>
            </w:tcBorders>
            <w:shd w:val="clear" w:color="auto" w:fill="auto"/>
            <w:noWrap/>
            <w:vAlign w:val="center"/>
          </w:tcPr>
          <w:p w14:paraId="7DE6A1B2">
            <w:pPr>
              <w:widowControl/>
              <w:jc w:val="center"/>
              <w:rPr>
                <w:rFonts w:ascii="Times New Roman" w:hAnsi="Times New Roman" w:cs="Times New Roman"/>
                <w:kern w:val="0"/>
                <w:szCs w:val="21"/>
              </w:rPr>
            </w:pPr>
            <w:r>
              <w:rPr>
                <w:rFonts w:ascii="Times New Roman" w:hAnsi="宋体" w:cs="Times New Roman"/>
                <w:kern w:val="0"/>
                <w:szCs w:val="21"/>
              </w:rPr>
              <w:t>农村道路</w:t>
            </w:r>
          </w:p>
        </w:tc>
        <w:tc>
          <w:tcPr>
            <w:tcW w:w="1429" w:type="pct"/>
            <w:tcBorders>
              <w:top w:val="nil"/>
              <w:left w:val="nil"/>
              <w:bottom w:val="single" w:color="auto" w:sz="4" w:space="0"/>
              <w:right w:val="single" w:color="auto" w:sz="4" w:space="0"/>
            </w:tcBorders>
            <w:shd w:val="clear" w:color="auto" w:fill="auto"/>
            <w:noWrap/>
            <w:vAlign w:val="center"/>
          </w:tcPr>
          <w:p w14:paraId="44E8A7F1">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5026FC1A">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31AC00E3">
        <w:tblPrEx>
          <w:tblCellMar>
            <w:top w:w="0" w:type="dxa"/>
            <w:left w:w="108" w:type="dxa"/>
            <w:bottom w:w="0" w:type="dxa"/>
            <w:right w:w="108" w:type="dxa"/>
          </w:tblCellMar>
        </w:tblPrEx>
        <w:trPr>
          <w:trHeight w:val="285" w:hRule="atLeast"/>
        </w:trPr>
        <w:tc>
          <w:tcPr>
            <w:tcW w:w="1071" w:type="pct"/>
            <w:vMerge w:val="continue"/>
            <w:tcBorders>
              <w:top w:val="nil"/>
              <w:left w:val="single" w:color="auto" w:sz="4" w:space="0"/>
              <w:bottom w:val="single" w:color="000000" w:sz="4" w:space="0"/>
              <w:right w:val="single" w:color="auto" w:sz="4" w:space="0"/>
            </w:tcBorders>
            <w:vAlign w:val="center"/>
          </w:tcPr>
          <w:p w14:paraId="7303CCBC">
            <w:pPr>
              <w:widowControl/>
              <w:jc w:val="center"/>
              <w:rPr>
                <w:rFonts w:ascii="Times New Roman" w:hAnsi="Times New Roman" w:cs="Times New Roman"/>
                <w:kern w:val="0"/>
                <w:szCs w:val="21"/>
              </w:rPr>
            </w:pPr>
          </w:p>
        </w:tc>
        <w:tc>
          <w:tcPr>
            <w:tcW w:w="1071" w:type="pct"/>
            <w:tcBorders>
              <w:top w:val="nil"/>
              <w:left w:val="nil"/>
              <w:bottom w:val="single" w:color="auto" w:sz="4" w:space="0"/>
              <w:right w:val="single" w:color="auto" w:sz="4" w:space="0"/>
            </w:tcBorders>
            <w:shd w:val="clear" w:color="auto" w:fill="auto"/>
            <w:noWrap/>
            <w:vAlign w:val="center"/>
          </w:tcPr>
          <w:p w14:paraId="1A038F34">
            <w:pPr>
              <w:widowControl/>
              <w:jc w:val="center"/>
              <w:rPr>
                <w:rFonts w:ascii="Times New Roman" w:hAnsi="Times New Roman" w:cs="Times New Roman"/>
                <w:kern w:val="0"/>
                <w:szCs w:val="21"/>
              </w:rPr>
            </w:pPr>
            <w:r>
              <w:rPr>
                <w:rFonts w:ascii="Times New Roman" w:hAnsi="宋体" w:cs="Times New Roman"/>
                <w:kern w:val="0"/>
                <w:szCs w:val="21"/>
              </w:rPr>
              <w:t>坑塘水面</w:t>
            </w:r>
          </w:p>
        </w:tc>
        <w:tc>
          <w:tcPr>
            <w:tcW w:w="1429" w:type="pct"/>
            <w:tcBorders>
              <w:top w:val="nil"/>
              <w:left w:val="nil"/>
              <w:bottom w:val="single" w:color="auto" w:sz="4" w:space="0"/>
              <w:right w:val="single" w:color="auto" w:sz="4" w:space="0"/>
            </w:tcBorders>
            <w:shd w:val="clear" w:color="auto" w:fill="auto"/>
            <w:noWrap/>
            <w:vAlign w:val="center"/>
          </w:tcPr>
          <w:p w14:paraId="479DCBE5">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11ADAB51">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0C3A07D2">
        <w:tblPrEx>
          <w:tblCellMar>
            <w:top w:w="0" w:type="dxa"/>
            <w:left w:w="108" w:type="dxa"/>
            <w:bottom w:w="0" w:type="dxa"/>
            <w:right w:w="108" w:type="dxa"/>
          </w:tblCellMar>
        </w:tblPrEx>
        <w:trPr>
          <w:trHeight w:val="285" w:hRule="atLeast"/>
        </w:trPr>
        <w:tc>
          <w:tcPr>
            <w:tcW w:w="1071" w:type="pct"/>
            <w:vMerge w:val="continue"/>
            <w:tcBorders>
              <w:top w:val="nil"/>
              <w:left w:val="single" w:color="auto" w:sz="4" w:space="0"/>
              <w:bottom w:val="single" w:color="000000" w:sz="4" w:space="0"/>
              <w:right w:val="single" w:color="auto" w:sz="4" w:space="0"/>
            </w:tcBorders>
            <w:vAlign w:val="center"/>
          </w:tcPr>
          <w:p w14:paraId="059685E2">
            <w:pPr>
              <w:widowControl/>
              <w:jc w:val="center"/>
              <w:rPr>
                <w:rFonts w:ascii="Times New Roman" w:hAnsi="Times New Roman" w:cs="Times New Roman"/>
                <w:kern w:val="0"/>
                <w:szCs w:val="21"/>
              </w:rPr>
            </w:pPr>
          </w:p>
        </w:tc>
        <w:tc>
          <w:tcPr>
            <w:tcW w:w="1071" w:type="pct"/>
            <w:tcBorders>
              <w:top w:val="nil"/>
              <w:left w:val="nil"/>
              <w:bottom w:val="single" w:color="auto" w:sz="4" w:space="0"/>
              <w:right w:val="single" w:color="auto" w:sz="4" w:space="0"/>
            </w:tcBorders>
            <w:shd w:val="clear" w:color="auto" w:fill="auto"/>
            <w:noWrap/>
            <w:vAlign w:val="center"/>
          </w:tcPr>
          <w:p w14:paraId="51410AEE">
            <w:pPr>
              <w:widowControl/>
              <w:jc w:val="center"/>
              <w:rPr>
                <w:rFonts w:ascii="Times New Roman" w:hAnsi="Times New Roman" w:cs="Times New Roman"/>
                <w:kern w:val="0"/>
                <w:szCs w:val="21"/>
              </w:rPr>
            </w:pPr>
            <w:r>
              <w:rPr>
                <w:rFonts w:ascii="Times New Roman" w:hAnsi="宋体" w:cs="Times New Roman"/>
                <w:kern w:val="0"/>
                <w:szCs w:val="21"/>
              </w:rPr>
              <w:t>水库水面</w:t>
            </w:r>
          </w:p>
        </w:tc>
        <w:tc>
          <w:tcPr>
            <w:tcW w:w="1429" w:type="pct"/>
            <w:tcBorders>
              <w:top w:val="nil"/>
              <w:left w:val="nil"/>
              <w:bottom w:val="single" w:color="auto" w:sz="4" w:space="0"/>
              <w:right w:val="single" w:color="auto" w:sz="4" w:space="0"/>
            </w:tcBorders>
            <w:shd w:val="clear" w:color="auto" w:fill="auto"/>
            <w:noWrap/>
            <w:vAlign w:val="center"/>
          </w:tcPr>
          <w:p w14:paraId="53D60187">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7884E446">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73D51087">
        <w:tblPrEx>
          <w:tblCellMar>
            <w:top w:w="0" w:type="dxa"/>
            <w:left w:w="108" w:type="dxa"/>
            <w:bottom w:w="0" w:type="dxa"/>
            <w:right w:w="108" w:type="dxa"/>
          </w:tblCellMar>
        </w:tblPrEx>
        <w:trPr>
          <w:trHeight w:val="525" w:hRule="atLeast"/>
        </w:trPr>
        <w:tc>
          <w:tcPr>
            <w:tcW w:w="1071" w:type="pct"/>
            <w:vMerge w:val="continue"/>
            <w:tcBorders>
              <w:top w:val="nil"/>
              <w:left w:val="single" w:color="auto" w:sz="4" w:space="0"/>
              <w:bottom w:val="single" w:color="000000" w:sz="4" w:space="0"/>
              <w:right w:val="single" w:color="auto" w:sz="4" w:space="0"/>
            </w:tcBorders>
            <w:vAlign w:val="center"/>
          </w:tcPr>
          <w:p w14:paraId="311C5EAD">
            <w:pPr>
              <w:widowControl/>
              <w:jc w:val="center"/>
              <w:rPr>
                <w:rFonts w:ascii="Times New Roman" w:hAnsi="Times New Roman" w:cs="Times New Roman"/>
                <w:kern w:val="0"/>
                <w:szCs w:val="21"/>
              </w:rPr>
            </w:pPr>
          </w:p>
        </w:tc>
        <w:tc>
          <w:tcPr>
            <w:tcW w:w="1071" w:type="pct"/>
            <w:tcBorders>
              <w:top w:val="nil"/>
              <w:left w:val="nil"/>
              <w:bottom w:val="single" w:color="auto" w:sz="4" w:space="0"/>
              <w:right w:val="single" w:color="auto" w:sz="4" w:space="0"/>
            </w:tcBorders>
            <w:shd w:val="clear" w:color="auto" w:fill="auto"/>
            <w:noWrap/>
            <w:vAlign w:val="center"/>
          </w:tcPr>
          <w:p w14:paraId="77301E2A">
            <w:pPr>
              <w:widowControl/>
              <w:jc w:val="center"/>
              <w:rPr>
                <w:rFonts w:ascii="Times New Roman" w:hAnsi="Times New Roman" w:cs="Times New Roman"/>
                <w:kern w:val="0"/>
                <w:szCs w:val="21"/>
              </w:rPr>
            </w:pPr>
            <w:r>
              <w:rPr>
                <w:rFonts w:ascii="Times New Roman" w:hAnsi="宋体" w:cs="Times New Roman"/>
                <w:kern w:val="0"/>
                <w:szCs w:val="21"/>
              </w:rPr>
              <w:t>沟渠</w:t>
            </w:r>
          </w:p>
        </w:tc>
        <w:tc>
          <w:tcPr>
            <w:tcW w:w="1429" w:type="pct"/>
            <w:tcBorders>
              <w:top w:val="nil"/>
              <w:left w:val="nil"/>
              <w:bottom w:val="single" w:color="auto" w:sz="4" w:space="0"/>
              <w:right w:val="single" w:color="auto" w:sz="4" w:space="0"/>
            </w:tcBorders>
            <w:shd w:val="clear" w:color="auto" w:fill="auto"/>
            <w:noWrap/>
            <w:vAlign w:val="center"/>
          </w:tcPr>
          <w:p w14:paraId="1D72C94F">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3AAD5B83">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663F7E68">
        <w:tblPrEx>
          <w:tblCellMar>
            <w:top w:w="0" w:type="dxa"/>
            <w:left w:w="108" w:type="dxa"/>
            <w:bottom w:w="0" w:type="dxa"/>
            <w:right w:w="108" w:type="dxa"/>
          </w:tblCellMar>
        </w:tblPrEx>
        <w:trPr>
          <w:trHeight w:val="285" w:hRule="atLeast"/>
        </w:trPr>
        <w:tc>
          <w:tcPr>
            <w:tcW w:w="1071" w:type="pct"/>
            <w:vMerge w:val="continue"/>
            <w:tcBorders>
              <w:top w:val="nil"/>
              <w:left w:val="single" w:color="auto" w:sz="4" w:space="0"/>
              <w:bottom w:val="single" w:color="000000" w:sz="4" w:space="0"/>
              <w:right w:val="single" w:color="auto" w:sz="4" w:space="0"/>
            </w:tcBorders>
            <w:vAlign w:val="center"/>
          </w:tcPr>
          <w:p w14:paraId="0B8634F8">
            <w:pPr>
              <w:widowControl/>
              <w:jc w:val="center"/>
              <w:rPr>
                <w:rFonts w:ascii="Times New Roman" w:hAnsi="Times New Roman" w:cs="Times New Roman"/>
                <w:kern w:val="0"/>
                <w:szCs w:val="21"/>
              </w:rPr>
            </w:pPr>
          </w:p>
        </w:tc>
        <w:tc>
          <w:tcPr>
            <w:tcW w:w="1071" w:type="pct"/>
            <w:tcBorders>
              <w:top w:val="nil"/>
              <w:left w:val="nil"/>
              <w:bottom w:val="single" w:color="auto" w:sz="4" w:space="0"/>
              <w:right w:val="single" w:color="auto" w:sz="4" w:space="0"/>
            </w:tcBorders>
            <w:shd w:val="clear" w:color="auto" w:fill="auto"/>
            <w:noWrap/>
            <w:vAlign w:val="center"/>
          </w:tcPr>
          <w:p w14:paraId="596BD0CF">
            <w:pPr>
              <w:widowControl/>
              <w:jc w:val="center"/>
              <w:rPr>
                <w:rFonts w:ascii="Times New Roman" w:hAnsi="Times New Roman" w:cs="Times New Roman"/>
                <w:kern w:val="0"/>
                <w:szCs w:val="21"/>
              </w:rPr>
            </w:pPr>
            <w:r>
              <w:rPr>
                <w:rFonts w:ascii="Times New Roman" w:hAnsi="宋体" w:cs="Times New Roman"/>
                <w:kern w:val="0"/>
                <w:szCs w:val="21"/>
              </w:rPr>
              <w:t>设施农用地</w:t>
            </w:r>
          </w:p>
        </w:tc>
        <w:tc>
          <w:tcPr>
            <w:tcW w:w="1429" w:type="pct"/>
            <w:tcBorders>
              <w:top w:val="nil"/>
              <w:left w:val="nil"/>
              <w:bottom w:val="single" w:color="auto" w:sz="4" w:space="0"/>
              <w:right w:val="single" w:color="auto" w:sz="4" w:space="0"/>
            </w:tcBorders>
            <w:shd w:val="clear" w:color="auto" w:fill="auto"/>
            <w:noWrap/>
            <w:vAlign w:val="center"/>
          </w:tcPr>
          <w:p w14:paraId="0C9DAECC">
            <w:pPr>
              <w:widowControl/>
              <w:jc w:val="center"/>
              <w:rPr>
                <w:rFonts w:ascii="Times New Roman" w:hAnsi="Times New Roman" w:cs="Times New Roman"/>
                <w:kern w:val="0"/>
                <w:szCs w:val="21"/>
              </w:rPr>
            </w:pPr>
            <w:r>
              <w:rPr>
                <w:rFonts w:ascii="Times New Roman" w:hAnsi="Times New Roman" w:cs="Times New Roman"/>
                <w:kern w:val="0"/>
                <w:szCs w:val="21"/>
              </w:rPr>
              <w:t>1.3</w:t>
            </w:r>
          </w:p>
        </w:tc>
        <w:tc>
          <w:tcPr>
            <w:tcW w:w="1429" w:type="pct"/>
            <w:tcBorders>
              <w:top w:val="nil"/>
              <w:left w:val="nil"/>
              <w:bottom w:val="single" w:color="auto" w:sz="4" w:space="0"/>
              <w:right w:val="single" w:color="auto" w:sz="4" w:space="0"/>
            </w:tcBorders>
            <w:shd w:val="clear" w:color="auto" w:fill="auto"/>
            <w:noWrap/>
            <w:vAlign w:val="center"/>
          </w:tcPr>
          <w:p w14:paraId="774F552B">
            <w:pPr>
              <w:widowControl/>
              <w:jc w:val="center"/>
              <w:rPr>
                <w:rFonts w:ascii="Times New Roman" w:hAnsi="Times New Roman" w:cs="Times New Roman"/>
                <w:kern w:val="0"/>
                <w:szCs w:val="21"/>
              </w:rPr>
            </w:pPr>
            <w:r>
              <w:rPr>
                <w:rFonts w:ascii="Times New Roman" w:hAnsi="Times New Roman" w:cs="Times New Roman"/>
                <w:kern w:val="0"/>
                <w:szCs w:val="21"/>
              </w:rPr>
              <w:t>68600</w:t>
            </w:r>
          </w:p>
        </w:tc>
      </w:tr>
      <w:tr w14:paraId="2A26308A">
        <w:tblPrEx>
          <w:tblCellMar>
            <w:top w:w="0" w:type="dxa"/>
            <w:left w:w="108" w:type="dxa"/>
            <w:bottom w:w="0" w:type="dxa"/>
            <w:right w:w="108" w:type="dxa"/>
          </w:tblCellMar>
        </w:tblPrEx>
        <w:trPr>
          <w:trHeight w:val="285" w:hRule="atLeast"/>
        </w:trPr>
        <w:tc>
          <w:tcPr>
            <w:tcW w:w="3571" w:type="pct"/>
            <w:gridSpan w:val="3"/>
            <w:tcBorders>
              <w:top w:val="single" w:color="auto" w:sz="4" w:space="0"/>
              <w:left w:val="single" w:color="auto" w:sz="4" w:space="0"/>
              <w:bottom w:val="single" w:color="auto" w:sz="4" w:space="0"/>
              <w:right w:val="single" w:color="000000" w:sz="4" w:space="0"/>
            </w:tcBorders>
            <w:shd w:val="clear" w:color="auto" w:fill="auto"/>
            <w:noWrap/>
            <w:vAlign w:val="center"/>
          </w:tcPr>
          <w:p w14:paraId="079A1188">
            <w:pPr>
              <w:widowControl/>
              <w:jc w:val="center"/>
              <w:rPr>
                <w:rFonts w:ascii="Times New Roman" w:hAnsi="Times New Roman" w:cs="Times New Roman"/>
                <w:kern w:val="0"/>
                <w:szCs w:val="21"/>
              </w:rPr>
            </w:pPr>
            <w:r>
              <w:rPr>
                <w:rFonts w:ascii="Times New Roman" w:hAnsi="宋体" w:cs="Times New Roman"/>
                <w:kern w:val="0"/>
                <w:szCs w:val="21"/>
              </w:rPr>
              <w:t>平均补偿标准</w:t>
            </w:r>
          </w:p>
        </w:tc>
        <w:tc>
          <w:tcPr>
            <w:tcW w:w="1429" w:type="pct"/>
            <w:tcBorders>
              <w:top w:val="nil"/>
              <w:left w:val="nil"/>
              <w:bottom w:val="single" w:color="auto" w:sz="4" w:space="0"/>
              <w:right w:val="single" w:color="auto" w:sz="4" w:space="0"/>
            </w:tcBorders>
            <w:shd w:val="clear" w:color="auto" w:fill="auto"/>
            <w:noWrap/>
            <w:vAlign w:val="center"/>
          </w:tcPr>
          <w:p w14:paraId="21048511">
            <w:pPr>
              <w:widowControl/>
              <w:jc w:val="center"/>
              <w:rPr>
                <w:rFonts w:ascii="Times New Roman" w:hAnsi="Times New Roman" w:cs="Times New Roman"/>
                <w:kern w:val="0"/>
                <w:szCs w:val="21"/>
              </w:rPr>
            </w:pPr>
            <w:r>
              <w:rPr>
                <w:rFonts w:ascii="Times New Roman" w:hAnsi="Times New Roman" w:cs="Times New Roman"/>
                <w:kern w:val="0"/>
                <w:szCs w:val="21"/>
              </w:rPr>
              <w:t>57600</w:t>
            </w:r>
          </w:p>
        </w:tc>
      </w:tr>
    </w:tbl>
    <w:p w14:paraId="05BE1482">
      <w:pPr>
        <w:spacing w:line="360" w:lineRule="auto"/>
        <w:rPr>
          <w:rFonts w:ascii="Times New Roman" w:cs="Times New Roman" w:hAnsiTheme="minorEastAsia" w:eastAsiaTheme="minorEastAsia"/>
          <w:kern w:val="0"/>
          <w:szCs w:val="21"/>
        </w:rPr>
      </w:pPr>
      <w:r>
        <w:rPr>
          <w:rFonts w:hint="eastAsia" w:ascii="Times New Roman" w:cs="Times New Roman" w:hAnsiTheme="minorEastAsia" w:eastAsiaTheme="minorEastAsia"/>
          <w:kern w:val="0"/>
          <w:szCs w:val="21"/>
        </w:rPr>
        <w:t>注：为便于实际操作，同时从维护被征地农民权益原则出发，本次测算价格采用百位取整（进一位）。</w:t>
      </w:r>
    </w:p>
    <w:p w14:paraId="10A1EBCD">
      <w:pPr>
        <w:spacing w:line="360" w:lineRule="auto"/>
        <w:ind w:firstLine="482" w:firstLineChars="200"/>
        <w:rPr>
          <w:rFonts w:ascii="Times New Roman" w:hAnsi="Times New Roman" w:eastAsia="仿宋_GB2312" w:cs="Times New Roman"/>
          <w:b/>
          <w:bCs/>
          <w:sz w:val="24"/>
        </w:rPr>
      </w:pPr>
    </w:p>
    <w:sectPr>
      <w:footerReference r:id="rId6" w:type="default"/>
      <w:pgSz w:w="11850" w:h="16783"/>
      <w:pgMar w:top="1247" w:right="1418" w:bottom="1588" w:left="1418"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B3D2D">
    <w:pPr>
      <w:pStyle w:val="5"/>
    </w:pPr>
    <w:r>
      <w:pict>
        <v:shape id="_x0000_s2049" o:spid="_x0000_s2049"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AF3HKwEwIAABMEAAAOAAAAAAAAAAEA&#10;IAAAAB8BAABkcnMvZTJvRG9jLnhtbFBLBQYAAAAABgAGAFkBAACkBQAAAAA=&#10;">
          <v:path/>
          <v:fill on="f" focussize="0,0"/>
          <v:stroke on="f" weight="0.5pt" joinstyle="miter"/>
          <v:imagedata o:title=""/>
          <o:lock v:ext="edit"/>
          <v:textbox inset="0mm,0mm,0mm,0mm" style="mso-fit-shape-to-text:t;">
            <w:txbxContent>
              <w:p w14:paraId="3E7022F5">
                <w:pPr>
                  <w:pStyle w:val="5"/>
                </w:pPr>
                <w:r>
                  <w:fldChar w:fldCharType="begin"/>
                </w:r>
                <w:r>
                  <w:instrText xml:space="preserve"> PAGE  \* MERGEFORMAT </w:instrText>
                </w:r>
                <w:r>
                  <w:fldChar w:fldCharType="separate"/>
                </w:r>
                <w:r>
                  <w:t>1</w:t>
                </w:r>
                <w:r>
                  <w:fldChar w:fldCharType="end"/>
                </w:r>
              </w:p>
            </w:txbxContent>
          </v:textbox>
        </v:shape>
      </w:pict>
    </w:r>
    <w:r>
      <w:pict>
        <v:rect id="文本框 2" o:spid="_x0000_s2050"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uXW5UtAAAAAFAQAA&#10;DwAAAAAAAAABACAAAAAiAAAAZHJzL2Rvd25yZXYueG1sUEsBAhQAFAAAAAgAh07iQDJYMGOvAQAA&#10;RAMAAA4AAAAAAAAAAQAgAAAAHwEAAGRycy9lMm9Eb2MueG1sUEsFBgAAAAAGAAYAWQEAAEAFAAAA&#10;AA==&#10;">
          <v:path/>
          <v:fill on="f" focussize="0,0"/>
          <v:stroke on="f"/>
          <v:imagedata o:title=""/>
          <o:lock v:ext="edit"/>
          <v:textbox inset="0mm,0mm,0mm,0mm" style="mso-fit-shape-to-text:t;">
            <w:txbxContent>
              <w:p w14:paraId="75FBE80E">
                <w:pPr>
                  <w:pStyle w:val="5"/>
                </w:pPr>
              </w:p>
            </w:txbxContent>
          </v:textbox>
        </v:rect>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4D190">
    <w:pPr>
      <w:pStyle w:val="5"/>
    </w:pPr>
    <w:r>
      <w:pict>
        <v:rect id="文本框 3" o:spid="_x0000_s2051"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uXW5UtAAAAAFAQAA&#10;DwAAAAAAAAABACAAAAAiAAAAZHJzL2Rvd25yZXYueG1sUEsBAhQAFAAAAAgAh07iQNPnH1KvAQAA&#10;RAMAAA4AAAAAAAAAAQAgAAAAHwEAAGRycy9lMm9Eb2MueG1sUEsFBgAAAAAGAAYAWQEAAEAFAAAA&#10;AA==&#10;">
          <v:path/>
          <v:fill on="f" focussize="0,0"/>
          <v:stroke on="f"/>
          <v:imagedata o:title=""/>
          <o:lock v:ext="edit"/>
          <v:textbox inset="0mm,0mm,0mm,0mm" style="mso-fit-shape-to-text:t;">
            <w:txbxContent>
              <w:p w14:paraId="068DCC4D">
                <w:pPr>
                  <w:pStyle w:val="5"/>
                </w:pPr>
                <w:r>
                  <w:fldChar w:fldCharType="begin"/>
                </w:r>
                <w:r>
                  <w:instrText xml:space="preserve"> PAGE  \* MERGEFORMAT </w:instrText>
                </w:r>
                <w:r>
                  <w:fldChar w:fldCharType="separate"/>
                </w:r>
                <w:r>
                  <w:t>4</w:t>
                </w:r>
                <w:r>
                  <w:fldChar w:fldCharType="end"/>
                </w:r>
              </w:p>
            </w:txbxContent>
          </v:textbox>
        </v:rect>
      </w:pict>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7D1">
    <w:pPr>
      <w:pStyle w:val="5"/>
    </w:pPr>
    <w:r>
      <w:pict>
        <v:shape id="_x0000_s2052" o:spid="_x0000_s2052"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e54oUAgAAEwQAAA4AAABkcnMvZTJvRG9jLnhtbK1TTY7TMBTeI3EH&#10;y3uatBW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nr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wN7nihQCAAATBAAADgAAAAAAAAAB&#10;ACAAAAAfAQAAZHJzL2Uyb0RvYy54bWxQSwUGAAAAAAYABgBZAQAApQUAAAAA&#10;">
          <v:path/>
          <v:fill on="f" focussize="0,0"/>
          <v:stroke on="f" weight="0.5pt" joinstyle="miter"/>
          <v:imagedata o:title=""/>
          <o:lock v:ext="edit"/>
          <v:textbox inset="0mm,0mm,0mm,0mm" style="mso-fit-shape-to-text:t;">
            <w:txbxContent>
              <w:p w14:paraId="067215AC">
                <w:pPr>
                  <w:pStyle w:val="5"/>
                </w:pPr>
                <w:r>
                  <w:fldChar w:fldCharType="begin"/>
                </w:r>
                <w:r>
                  <w:instrText xml:space="preserve"> PAGE  \* MERGEFORMAT </w:instrText>
                </w:r>
                <w:r>
                  <w:fldChar w:fldCharType="separate"/>
                </w:r>
                <w:r>
                  <w:t>8</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DC005A">
    <w:pPr>
      <w:pStyle w:val="6"/>
      <w:pBdr>
        <w:top w:val="none" w:color="auto" w:sz="0" w:space="0"/>
        <w:left w:val="none" w:color="auto" w:sz="0" w:space="0"/>
        <w:bottom w:val="single" w:color="auto" w:sz="4" w:space="1"/>
        <w:right w:val="none" w:color="auto" w:sz="0" w:space="0"/>
      </w:pBdr>
      <w:jc w:val="right"/>
      <w:rPr>
        <w:rFonts w:ascii="仿宋_GB2312" w:hAnsi="仿宋_GB2312" w:eastAsia="仿宋_GB2312" w:cs="仿宋_GB2312"/>
        <w:b/>
        <w:bCs/>
      </w:rPr>
    </w:pPr>
    <w:r>
      <w:rPr>
        <w:rFonts w:hint="eastAsia" w:ascii="仿宋_GB2312" w:hAnsi="仿宋_GB2312" w:eastAsia="仿宋_GB2312" w:cs="仿宋_GB2312"/>
        <w:b/>
        <w:bCs/>
      </w:rPr>
      <w:t>云南省德宏州瑞丽市征地区片综合地价制定结果报告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singleLevel"/>
    <w:tmpl w:val="0053208E"/>
    <w:lvl w:ilvl="0" w:tentative="0">
      <w:start w:val="2"/>
      <w:numFmt w:val="chineseCounting"/>
      <w:suff w:val="nothing"/>
      <w:lvlText w:val="（%1）"/>
      <w:lvlJc w:val="left"/>
      <w:rPr>
        <w:rFonts w:hint="eastAsia" w:cs="Times New Roman"/>
      </w:rPr>
    </w:lvl>
  </w:abstractNum>
  <w:abstractNum w:abstractNumId="1">
    <w:nsid w:val="3C791E24"/>
    <w:multiLevelType w:val="multilevel"/>
    <w:tmpl w:val="3C791E24"/>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noPunctuationKerning w:val="1"/>
  <w:characterSpacingControl w:val="compressPunctuation"/>
  <w:noLineBreaksAfter w:lang="zh-CN" w:val="$([{£¥·‘“〈《「『【〔〖〝﹙﹛﹝＄（．［｛￡￥"/>
  <w:noLineBreaksBefore w:lang="zh-CN" w:val="!%),.:;&gt;?]}¢¨°·ˇˉ―‖’”…‰′″›℃∶、。〃〉》」』】〕〗〞︶︺︾﹀﹄﹚﹜﹞！＂％＇），．：；？］｀｜｝～￠"/>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C06A6F"/>
    <w:rsid w:val="00013592"/>
    <w:rsid w:val="00014520"/>
    <w:rsid w:val="00057F4B"/>
    <w:rsid w:val="00074B66"/>
    <w:rsid w:val="0007793E"/>
    <w:rsid w:val="000A063E"/>
    <w:rsid w:val="000A40C2"/>
    <w:rsid w:val="000A61EE"/>
    <w:rsid w:val="000C2D81"/>
    <w:rsid w:val="000C4719"/>
    <w:rsid w:val="000D7D2D"/>
    <w:rsid w:val="0010382F"/>
    <w:rsid w:val="001159B9"/>
    <w:rsid w:val="00122EE9"/>
    <w:rsid w:val="00126024"/>
    <w:rsid w:val="00155C87"/>
    <w:rsid w:val="0017774B"/>
    <w:rsid w:val="001A3404"/>
    <w:rsid w:val="001A72B6"/>
    <w:rsid w:val="001D67B8"/>
    <w:rsid w:val="00214972"/>
    <w:rsid w:val="00220089"/>
    <w:rsid w:val="00241283"/>
    <w:rsid w:val="00270C3F"/>
    <w:rsid w:val="00277281"/>
    <w:rsid w:val="002A656A"/>
    <w:rsid w:val="002D1051"/>
    <w:rsid w:val="002F6031"/>
    <w:rsid w:val="00324C1F"/>
    <w:rsid w:val="003339D8"/>
    <w:rsid w:val="00335A8E"/>
    <w:rsid w:val="0035310B"/>
    <w:rsid w:val="003633CE"/>
    <w:rsid w:val="00367D0F"/>
    <w:rsid w:val="003800E2"/>
    <w:rsid w:val="003A0A03"/>
    <w:rsid w:val="003A7644"/>
    <w:rsid w:val="003B0C08"/>
    <w:rsid w:val="003B38A8"/>
    <w:rsid w:val="004108AA"/>
    <w:rsid w:val="00417846"/>
    <w:rsid w:val="004F6E2B"/>
    <w:rsid w:val="005671AA"/>
    <w:rsid w:val="00593B39"/>
    <w:rsid w:val="005B1731"/>
    <w:rsid w:val="005D153D"/>
    <w:rsid w:val="005D3509"/>
    <w:rsid w:val="006045E1"/>
    <w:rsid w:val="00622ED7"/>
    <w:rsid w:val="006504F6"/>
    <w:rsid w:val="00693D7F"/>
    <w:rsid w:val="00713F76"/>
    <w:rsid w:val="00732634"/>
    <w:rsid w:val="00734D2D"/>
    <w:rsid w:val="0077735C"/>
    <w:rsid w:val="0078163D"/>
    <w:rsid w:val="007B7A54"/>
    <w:rsid w:val="0082107A"/>
    <w:rsid w:val="00835CA1"/>
    <w:rsid w:val="00872CB4"/>
    <w:rsid w:val="00876538"/>
    <w:rsid w:val="008A0B5A"/>
    <w:rsid w:val="008C29E9"/>
    <w:rsid w:val="008C57D1"/>
    <w:rsid w:val="00913D72"/>
    <w:rsid w:val="009227A2"/>
    <w:rsid w:val="00926A68"/>
    <w:rsid w:val="00930C26"/>
    <w:rsid w:val="00970FCF"/>
    <w:rsid w:val="009B043D"/>
    <w:rsid w:val="009B6D93"/>
    <w:rsid w:val="009F5595"/>
    <w:rsid w:val="00A02C94"/>
    <w:rsid w:val="00A248F2"/>
    <w:rsid w:val="00A74C95"/>
    <w:rsid w:val="00A75FD2"/>
    <w:rsid w:val="00A80A99"/>
    <w:rsid w:val="00AA7B42"/>
    <w:rsid w:val="00AC05AC"/>
    <w:rsid w:val="00AD086C"/>
    <w:rsid w:val="00B027E3"/>
    <w:rsid w:val="00B02B03"/>
    <w:rsid w:val="00B271B3"/>
    <w:rsid w:val="00B41918"/>
    <w:rsid w:val="00B70169"/>
    <w:rsid w:val="00B7361C"/>
    <w:rsid w:val="00B81465"/>
    <w:rsid w:val="00B9050D"/>
    <w:rsid w:val="00B964E7"/>
    <w:rsid w:val="00BF0421"/>
    <w:rsid w:val="00BF2ED1"/>
    <w:rsid w:val="00BF5A52"/>
    <w:rsid w:val="00C006E6"/>
    <w:rsid w:val="00C06365"/>
    <w:rsid w:val="00C06468"/>
    <w:rsid w:val="00C06A6F"/>
    <w:rsid w:val="00C148BB"/>
    <w:rsid w:val="00C36134"/>
    <w:rsid w:val="00C840A8"/>
    <w:rsid w:val="00CA4E90"/>
    <w:rsid w:val="00D24BF2"/>
    <w:rsid w:val="00D75CEE"/>
    <w:rsid w:val="00D96C7E"/>
    <w:rsid w:val="00DE7B23"/>
    <w:rsid w:val="00E1080E"/>
    <w:rsid w:val="00E26BCA"/>
    <w:rsid w:val="00E400B8"/>
    <w:rsid w:val="00E639D2"/>
    <w:rsid w:val="00E669DA"/>
    <w:rsid w:val="00E94D24"/>
    <w:rsid w:val="00EE6F1F"/>
    <w:rsid w:val="00EF6BA6"/>
    <w:rsid w:val="00F22BFA"/>
    <w:rsid w:val="00F26B2A"/>
    <w:rsid w:val="00F35062"/>
    <w:rsid w:val="00F5786A"/>
    <w:rsid w:val="00F6749C"/>
    <w:rsid w:val="00F90AA4"/>
    <w:rsid w:val="00FC12CF"/>
    <w:rsid w:val="00FC2131"/>
    <w:rsid w:val="00FD5E30"/>
    <w:rsid w:val="03FD2FA6"/>
    <w:rsid w:val="0E337F1E"/>
    <w:rsid w:val="0FB25938"/>
    <w:rsid w:val="10A11A01"/>
    <w:rsid w:val="15BE1EEE"/>
    <w:rsid w:val="1D5D2FFB"/>
    <w:rsid w:val="24A60605"/>
    <w:rsid w:val="2C3F7D19"/>
    <w:rsid w:val="2D4B3946"/>
    <w:rsid w:val="2FBB2D38"/>
    <w:rsid w:val="38C61FC3"/>
    <w:rsid w:val="3C3307BA"/>
    <w:rsid w:val="3D697DD3"/>
    <w:rsid w:val="45606433"/>
    <w:rsid w:val="458F67E8"/>
    <w:rsid w:val="47377D7D"/>
    <w:rsid w:val="4A557646"/>
    <w:rsid w:val="4C567788"/>
    <w:rsid w:val="4CA1610D"/>
    <w:rsid w:val="51341DE6"/>
    <w:rsid w:val="51E43606"/>
    <w:rsid w:val="54867F80"/>
    <w:rsid w:val="55835522"/>
    <w:rsid w:val="59400723"/>
    <w:rsid w:val="5F78150E"/>
    <w:rsid w:val="61DE3D10"/>
    <w:rsid w:val="696950B2"/>
    <w:rsid w:val="6C9C249F"/>
    <w:rsid w:val="7A4240FA"/>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99" w:semiHidden="0" w:name="toc 1"/>
    <w:lsdException w:qFormat="1" w:unhideWhenUsed="0" w:uiPriority="9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character" w:default="1" w:styleId="12">
    <w:name w:val="Default Paragraph Font"/>
    <w:semiHidden/>
    <w:unhideWhenUsed/>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Document Map"/>
    <w:basedOn w:val="1"/>
    <w:link w:val="23"/>
    <w:semiHidden/>
    <w:unhideWhenUsed/>
    <w:qFormat/>
    <w:uiPriority w:val="99"/>
    <w:rPr>
      <w:rFonts w:ascii="宋体"/>
      <w:sz w:val="18"/>
      <w:szCs w:val="18"/>
    </w:rPr>
  </w:style>
  <w:style w:type="paragraph" w:styleId="3">
    <w:name w:val="annotation text"/>
    <w:basedOn w:val="1"/>
    <w:link w:val="14"/>
    <w:uiPriority w:val="99"/>
    <w:pPr>
      <w:jc w:val="left"/>
    </w:pPr>
  </w:style>
  <w:style w:type="paragraph" w:styleId="4">
    <w:name w:val="Balloon Text"/>
    <w:basedOn w:val="1"/>
    <w:link w:val="15"/>
    <w:qFormat/>
    <w:uiPriority w:val="99"/>
    <w:rPr>
      <w:sz w:val="18"/>
      <w:szCs w:val="18"/>
    </w:rPr>
  </w:style>
  <w:style w:type="paragraph" w:styleId="5">
    <w:name w:val="footer"/>
    <w:basedOn w:val="1"/>
    <w:link w:val="16"/>
    <w:qFormat/>
    <w:uiPriority w:val="99"/>
    <w:pPr>
      <w:tabs>
        <w:tab w:val="center" w:pos="4153"/>
        <w:tab w:val="right" w:pos="8306"/>
      </w:tabs>
      <w:snapToGrid w:val="0"/>
      <w:jc w:val="left"/>
    </w:pPr>
    <w:rPr>
      <w:sz w:val="18"/>
    </w:rPr>
  </w:style>
  <w:style w:type="paragraph" w:styleId="6">
    <w:name w:val="header"/>
    <w:basedOn w:val="1"/>
    <w:link w:val="17"/>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toc 1"/>
    <w:basedOn w:val="1"/>
    <w:next w:val="1"/>
    <w:qFormat/>
    <w:uiPriority w:val="99"/>
  </w:style>
  <w:style w:type="paragraph" w:styleId="8">
    <w:name w:val="toc 2"/>
    <w:basedOn w:val="1"/>
    <w:next w:val="1"/>
    <w:qFormat/>
    <w:uiPriority w:val="99"/>
    <w:pPr>
      <w:ind w:left="420" w:leftChars="200"/>
    </w:pPr>
  </w:style>
  <w:style w:type="paragraph" w:styleId="9">
    <w:name w:val="Normal (Web)"/>
    <w:basedOn w:val="1"/>
    <w:qFormat/>
    <w:uiPriority w:val="99"/>
    <w:pPr>
      <w:spacing w:beforeAutospacing="1" w:afterAutospacing="1"/>
      <w:jc w:val="left"/>
    </w:pPr>
    <w:rPr>
      <w:rFonts w:cs="Times New Roman"/>
      <w:kern w:val="0"/>
      <w:sz w:val="24"/>
    </w:rPr>
  </w:style>
  <w:style w:type="table" w:styleId="11">
    <w:name w:val="Table Grid"/>
    <w:basedOn w:val="10"/>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qFormat/>
    <w:uiPriority w:val="99"/>
    <w:rPr>
      <w:rFonts w:cs="Times New Roman"/>
      <w:color w:val="0000FF"/>
      <w:u w:val="single"/>
    </w:rPr>
  </w:style>
  <w:style w:type="character" w:customStyle="1" w:styleId="14">
    <w:name w:val="批注文字 Char"/>
    <w:basedOn w:val="12"/>
    <w:link w:val="3"/>
    <w:semiHidden/>
    <w:uiPriority w:val="99"/>
    <w:rPr>
      <w:rFonts w:ascii="Calibri" w:hAnsi="Calibri" w:cs="宋体"/>
      <w:szCs w:val="24"/>
    </w:rPr>
  </w:style>
  <w:style w:type="character" w:customStyle="1" w:styleId="15">
    <w:name w:val="批注框文本 Char"/>
    <w:basedOn w:val="12"/>
    <w:link w:val="4"/>
    <w:locked/>
    <w:uiPriority w:val="99"/>
    <w:rPr>
      <w:rFonts w:ascii="Calibri" w:hAnsi="Calibri" w:eastAsia="宋体" w:cs="宋体"/>
      <w:kern w:val="2"/>
      <w:sz w:val="18"/>
      <w:szCs w:val="18"/>
    </w:rPr>
  </w:style>
  <w:style w:type="character" w:customStyle="1" w:styleId="16">
    <w:name w:val="页脚 Char"/>
    <w:basedOn w:val="12"/>
    <w:link w:val="5"/>
    <w:semiHidden/>
    <w:uiPriority w:val="99"/>
    <w:rPr>
      <w:rFonts w:ascii="Calibri" w:hAnsi="Calibri" w:cs="宋体"/>
      <w:sz w:val="18"/>
      <w:szCs w:val="18"/>
    </w:rPr>
  </w:style>
  <w:style w:type="character" w:customStyle="1" w:styleId="17">
    <w:name w:val="页眉 Char"/>
    <w:basedOn w:val="12"/>
    <w:link w:val="6"/>
    <w:semiHidden/>
    <w:qFormat/>
    <w:uiPriority w:val="99"/>
    <w:rPr>
      <w:rFonts w:ascii="Calibri" w:hAnsi="Calibri" w:cs="宋体"/>
      <w:sz w:val="18"/>
      <w:szCs w:val="18"/>
    </w:rPr>
  </w:style>
  <w:style w:type="character" w:customStyle="1" w:styleId="18">
    <w:name w:val="font11"/>
    <w:basedOn w:val="12"/>
    <w:qFormat/>
    <w:uiPriority w:val="99"/>
    <w:rPr>
      <w:rFonts w:ascii="仿宋_GB2312" w:eastAsia="仿宋_GB2312" w:cs="仿宋_GB2312"/>
      <w:color w:val="000000"/>
      <w:sz w:val="18"/>
      <w:szCs w:val="18"/>
      <w:u w:val="none"/>
    </w:rPr>
  </w:style>
  <w:style w:type="character" w:customStyle="1" w:styleId="19">
    <w:name w:val="font31"/>
    <w:basedOn w:val="12"/>
    <w:qFormat/>
    <w:uiPriority w:val="99"/>
    <w:rPr>
      <w:rFonts w:ascii="Times New Roman" w:hAnsi="Times New Roman" w:cs="Times New Roman"/>
      <w:color w:val="000000"/>
      <w:sz w:val="18"/>
      <w:szCs w:val="18"/>
      <w:u w:val="none"/>
    </w:rPr>
  </w:style>
  <w:style w:type="character" w:customStyle="1" w:styleId="20">
    <w:name w:val="font61"/>
    <w:basedOn w:val="12"/>
    <w:qFormat/>
    <w:uiPriority w:val="99"/>
    <w:rPr>
      <w:rFonts w:ascii="Times New Roman" w:hAnsi="Times New Roman" w:cs="Times New Roman"/>
      <w:b/>
      <w:color w:val="000000"/>
      <w:sz w:val="18"/>
      <w:szCs w:val="18"/>
      <w:u w:val="none"/>
    </w:rPr>
  </w:style>
  <w:style w:type="character" w:customStyle="1" w:styleId="21">
    <w:name w:val="font51"/>
    <w:basedOn w:val="12"/>
    <w:qFormat/>
    <w:uiPriority w:val="99"/>
    <w:rPr>
      <w:rFonts w:ascii="仿宋_GB2312" w:eastAsia="仿宋_GB2312" w:cs="仿宋_GB2312"/>
      <w:b/>
      <w:color w:val="000000"/>
      <w:sz w:val="18"/>
      <w:szCs w:val="18"/>
      <w:u w:val="none"/>
    </w:rPr>
  </w:style>
  <w:style w:type="paragraph" w:styleId="22">
    <w:name w:val="List Paragraph"/>
    <w:basedOn w:val="1"/>
    <w:unhideWhenUsed/>
    <w:uiPriority w:val="99"/>
    <w:pPr>
      <w:ind w:firstLine="420" w:firstLineChars="200"/>
    </w:pPr>
  </w:style>
  <w:style w:type="character" w:customStyle="1" w:styleId="23">
    <w:name w:val="文档结构图 Char"/>
    <w:basedOn w:val="12"/>
    <w:link w:val="2"/>
    <w:semiHidden/>
    <w:uiPriority w:val="99"/>
    <w:rPr>
      <w:rFonts w:ascii="宋体" w:hAnsi="Calibri" w:cs="宋体"/>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header" Target="header1.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customShpInfo spid="_x0000_s2050"/>
    <customShpInfo spid="_x0000_s2051"/>
    <customShpInfo spid="_x0000_s205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1734BEB-1479-43BA-8102-1A2F434749C2}">
  <ds:schemaRefs/>
</ds:datastoreItem>
</file>

<file path=docProps/app.xml><?xml version="1.0" encoding="utf-8"?>
<Properties xmlns="http://schemas.openxmlformats.org/officeDocument/2006/extended-properties" xmlns:vt="http://schemas.openxmlformats.org/officeDocument/2006/docPropsVTypes">
  <Template>Normal</Template>
  <Company>HP</Company>
  <Pages>9</Pages>
  <Words>585</Words>
  <Characters>3340</Characters>
  <Lines>27</Lines>
  <Paragraphs>7</Paragraphs>
  <TotalTime>647</TotalTime>
  <ScaleCrop>false</ScaleCrop>
  <LinksUpToDate>false</LinksUpToDate>
  <CharactersWithSpaces>3918</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2020-02-25T09:47:00Z</dcterms:created>
  <dc:creator>Administrator</dc:creator>
  <cp:lastModifiedBy>桂芳媛</cp:lastModifiedBy>
  <cp:lastPrinted>2020-01-16T02:46:00Z</cp:lastPrinted>
  <dcterms:modified xsi:type="dcterms:W3CDTF">2025-06-26T12:05:02Z</dcterms:modified>
  <cp:revision>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B8E5C56E03AE414D8FEFDC3F77E718EA_12</vt:lpwstr>
  </property>
</Properties>
</file>