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bCs/>
          <w:sz w:val="44"/>
          <w:szCs w:val="44"/>
          <w:lang w:val="en-US" w:eastAsia="zh-CN"/>
        </w:rPr>
      </w:pPr>
      <w:bookmarkStart w:id="0" w:name="_GoBack"/>
      <w:r>
        <w:rPr>
          <w:rFonts w:hint="eastAsia" w:ascii="方正小标宋_GBK" w:hAnsi="方正小标宋_GBK" w:eastAsia="方正小标宋_GBK" w:cs="方正小标宋_GBK"/>
          <w:b/>
          <w:bCs/>
          <w:sz w:val="44"/>
          <w:szCs w:val="44"/>
          <w:lang w:val="en-US" w:eastAsia="zh-CN"/>
        </w:rPr>
        <w:t>瑞丽市2019年政府预算公开补充说明</w:t>
      </w:r>
    </w:p>
    <w:bookmarkEnd w:id="0"/>
    <w:p>
      <w:pPr>
        <w:jc w:val="both"/>
        <w:rPr>
          <w:rFonts w:hint="default" w:ascii="Times New Roman" w:hAnsi="Times New Roman" w:cs="Times New Roman"/>
          <w:b/>
          <w:bCs/>
          <w:sz w:val="32"/>
          <w:szCs w:val="32"/>
          <w:lang w:val="en-US" w:eastAsia="zh-CN"/>
        </w:rPr>
      </w:pPr>
    </w:p>
    <w:p>
      <w:pPr>
        <w:jc w:val="left"/>
        <w:rPr>
          <w:rFonts w:hint="eastAsia" w:ascii="方正楷体_GBK" w:hAnsi="方正楷体_GBK" w:eastAsia="方正楷体_GBK" w:cs="方正楷体_GBK"/>
          <w:b/>
          <w:bCs/>
          <w:sz w:val="32"/>
          <w:szCs w:val="32"/>
          <w:lang w:eastAsia="zh-CN"/>
        </w:rPr>
      </w:pPr>
      <w:r>
        <w:rPr>
          <w:rFonts w:hint="eastAsia" w:ascii="方正楷体_GBK" w:hAnsi="方正楷体_GBK" w:eastAsia="方正楷体_GBK" w:cs="方正楷体_GBK"/>
          <w:b/>
          <w:bCs/>
          <w:sz w:val="32"/>
          <w:szCs w:val="32"/>
          <w:lang w:val="en-US" w:eastAsia="zh-CN"/>
        </w:rPr>
        <w:t>一、2019年</w:t>
      </w:r>
      <w:r>
        <w:rPr>
          <w:rFonts w:hint="eastAsia" w:ascii="方正楷体_GBK" w:hAnsi="方正楷体_GBK" w:eastAsia="方正楷体_GBK" w:cs="方正楷体_GBK"/>
          <w:b/>
          <w:bCs/>
          <w:sz w:val="32"/>
          <w:szCs w:val="32"/>
          <w:lang w:eastAsia="zh-CN"/>
        </w:rPr>
        <w:t>瑞丽市政府预算公开关于公开2-4瑞丽市对乡镇级政府性基金转移支付表、2-8瑞丽市对乡镇政府性基金转移支付分地区分项目预算表为空表的说明</w:t>
      </w:r>
    </w:p>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因在2019年编制预算时，上级未下达2019年上级专款预告数，所以无法编制政府性对下转移支出，但预决算公开监督平台要求表中必须包含这2个表，否则无法校验通过，因此2019年瑞丽市政府预算公开表中保留空表公开。</w:t>
      </w:r>
    </w:p>
    <w:p>
      <w:pPr>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二、瑞丽市</w:t>
      </w:r>
      <w:r>
        <w:rPr>
          <w:rFonts w:hint="eastAsia" w:ascii="方正楷体_GBK" w:hAnsi="方正楷体_GBK" w:eastAsia="方正楷体_GBK" w:cs="方正楷体_GBK"/>
          <w:b/>
          <w:bCs/>
          <w:sz w:val="32"/>
          <w:szCs w:val="32"/>
          <w:lang w:val="en-GB" w:eastAsia="zh-CN"/>
        </w:rPr>
        <w:t>国有资本经营预算转移支付</w:t>
      </w:r>
      <w:r>
        <w:rPr>
          <w:rFonts w:hint="eastAsia" w:ascii="方正楷体_GBK" w:hAnsi="方正楷体_GBK" w:eastAsia="方正楷体_GBK" w:cs="方正楷体_GBK"/>
          <w:b/>
          <w:bCs/>
          <w:sz w:val="32"/>
          <w:szCs w:val="32"/>
          <w:lang w:val="en-US" w:eastAsia="zh-CN"/>
        </w:rPr>
        <w:t>分地区项目表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textAlignment w:val="auto"/>
        <w:outlineLvl w:val="9"/>
        <w:rPr>
          <w:rFonts w:hint="default" w:ascii="Times New Roman" w:hAnsi="Times New Roman" w:eastAsia="方正仿宋_GBK" w:cs="Times New Roman"/>
          <w:kern w:val="2"/>
          <w:sz w:val="24"/>
          <w:szCs w:val="24"/>
          <w:lang w:val="en-US" w:eastAsia="zh-CN" w:bidi="ar"/>
        </w:rPr>
      </w:pPr>
      <w:r>
        <w:rPr>
          <w:rFonts w:hint="eastAsia" w:ascii="Times New Roman" w:hAnsi="Times New Roman" w:eastAsia="方正仿宋_GBK" w:cs="Times New Roman"/>
          <w:kern w:val="2"/>
          <w:sz w:val="24"/>
          <w:szCs w:val="24"/>
          <w:lang w:val="en-US" w:eastAsia="zh-CN" w:bidi="ar"/>
        </w:rPr>
        <w:t>瑞丽市国有资本经营预算转移支付分地区项目表（单位：万元）</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1364"/>
        <w:gridCol w:w="1432"/>
        <w:gridCol w:w="1213"/>
        <w:gridCol w:w="1310"/>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预算单位</w:t>
            </w:r>
          </w:p>
        </w:tc>
        <w:tc>
          <w:tcPr>
            <w:tcW w:w="13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资金性质</w:t>
            </w:r>
          </w:p>
        </w:tc>
        <w:tc>
          <w:tcPr>
            <w:tcW w:w="14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指标来源</w:t>
            </w:r>
          </w:p>
        </w:tc>
        <w:tc>
          <w:tcPr>
            <w:tcW w:w="1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项目分类</w:t>
            </w:r>
          </w:p>
        </w:tc>
        <w:tc>
          <w:tcPr>
            <w:tcW w:w="13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功能分类</w:t>
            </w:r>
          </w:p>
        </w:tc>
        <w:tc>
          <w:tcPr>
            <w:tcW w:w="199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r>
              <w:rPr>
                <w:rFonts w:hint="eastAsia" w:ascii="Times New Roman" w:hAnsi="Times New Roman" w:eastAsia="方正仿宋_GBK" w:cs="Times New Roman"/>
                <w:kern w:val="2"/>
                <w:sz w:val="24"/>
                <w:szCs w:val="24"/>
                <w:vertAlign w:val="baseline"/>
                <w:lang w:val="en-US" w:eastAsia="zh-CN" w:bidi="ar"/>
              </w:rPr>
              <w:t>2019年预算数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4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99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4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99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6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432"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2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31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c>
          <w:tcPr>
            <w:tcW w:w="199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default" w:ascii="Times New Roman" w:hAnsi="Times New Roman" w:eastAsia="方正仿宋_GBK" w:cs="Times New Roman"/>
                <w:kern w:val="2"/>
                <w:sz w:val="24"/>
                <w:szCs w:val="24"/>
                <w:vertAlign w:val="baseline"/>
                <w:lang w:val="en-US" w:eastAsia="zh-CN" w:bidi="ar"/>
              </w:rPr>
            </w:pPr>
          </w:p>
        </w:tc>
      </w:tr>
    </w:tbl>
    <w:p>
      <w:pPr>
        <w:ind w:firstLine="640" w:firstLineChars="200"/>
        <w:jc w:val="lef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lang w:val="en-US" w:eastAsia="zh-CN" w:bidi="ar"/>
        </w:rPr>
        <w:t>该表为空表，原因是瑞丽市</w:t>
      </w:r>
      <w:r>
        <w:rPr>
          <w:rFonts w:hint="eastAsia" w:ascii="方正仿宋_GBK" w:hAnsi="方正仿宋_GBK" w:eastAsia="方正仿宋_GBK" w:cs="方正仿宋_GBK"/>
          <w:sz w:val="32"/>
          <w:szCs w:val="32"/>
          <w:lang w:val="en-US" w:eastAsia="zh-CN"/>
        </w:rPr>
        <w:t>2019年度无</w:t>
      </w:r>
      <w:r>
        <w:rPr>
          <w:rFonts w:hint="eastAsia" w:ascii="方正仿宋_GBK" w:hAnsi="方正仿宋_GBK" w:eastAsia="方正仿宋_GBK" w:cs="方正仿宋_GBK"/>
          <w:kern w:val="2"/>
          <w:sz w:val="32"/>
          <w:szCs w:val="32"/>
          <w:lang w:val="en-US" w:eastAsia="zh-CN" w:bidi="ar"/>
        </w:rPr>
        <w:t>国有资本经营预算转移支付预告数。</w:t>
      </w:r>
    </w:p>
    <w:p>
      <w:pPr>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三、瑞丽市对乡镇一般公共预算税收返还和转移支付预算表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320" w:firstLineChars="1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瑞丽市对乡镇一般公共预算税收返还和转移支付小计12199万元，其中：1.一般性转移支付6967万元（弄鸟镇48万元、姐相乡1451万元、户育乡689万元、勐秀乡1506万元、畹町镇882万元、勐卯镇2391万元）；2.专项转移支付5232万元（弄鸟镇1718万元、姐相乡476万元、户育乡180万元、勐秀乡1968万元、畹町镇570万元、勐卯镇320万元）。</w:t>
      </w:r>
    </w:p>
    <w:p>
      <w:pPr>
        <w:jc w:val="left"/>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四、瑞丽市对乡镇一般公共预算专项转移支付表(分项目)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瑞丽市对乡镇一般公共预算专项转移支付5232万元，其中：一般公共服务支出155万元、公共安全支出140万元、社会保障和就业支出5万元、医疗卫生与计划生育支出9万元、农林水支出2379万元、资源勘探信息等支出9万元、商业服务业等支出46万元、住房保障支出2489万元。</w:t>
      </w:r>
    </w:p>
    <w:p>
      <w:pPr>
        <w:ind w:firstLine="4800" w:firstLineChars="1500"/>
        <w:rPr>
          <w:rFonts w:hint="eastAsia" w:ascii="方正仿宋_GBK" w:hAnsi="方正仿宋_GBK" w:eastAsia="方正仿宋_GBK" w:cs="方正仿宋_GBK"/>
          <w:b w:val="0"/>
          <w:bCs w:val="0"/>
          <w:sz w:val="32"/>
          <w:szCs w:val="32"/>
          <w:lang w:val="en-US" w:eastAsia="zh-CN"/>
        </w:rPr>
      </w:pPr>
    </w:p>
    <w:p>
      <w:pPr>
        <w:ind w:firstLine="5440" w:firstLineChars="1700"/>
        <w:rPr>
          <w:rFonts w:hint="default" w:ascii="Times New Roman" w:hAnsi="Times New Roman" w:cs="Times New Roman"/>
          <w:b w:val="0"/>
          <w:bCs w:val="0"/>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002D2"/>
    <w:rsid w:val="11A002D2"/>
    <w:rsid w:val="172A0AB5"/>
    <w:rsid w:val="297E0D6B"/>
    <w:rsid w:val="35B16EC4"/>
    <w:rsid w:val="3CDF345C"/>
    <w:rsid w:val="3D231DE6"/>
    <w:rsid w:val="4123650E"/>
    <w:rsid w:val="5544265F"/>
    <w:rsid w:val="6B101A7B"/>
    <w:rsid w:val="6FD33C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2019-12-18T07:23:00Z</dcterms:created>
  <dc:creator>邱晨</dc:creator>
  <cp:lastModifiedBy>Dell</cp:lastModifiedBy>
  <cp:lastPrinted>2019-12-18T08:05:00Z</cp:lastPrinted>
  <dcterms:modified xsi:type="dcterms:W3CDTF">2020-01-06T08:13:55Z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