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瑞财字〔2017〕9999号Y218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下达勐卯镇脱贫攻坚巩固提升资金（盘活财政收回后调整使用—本级—部门）的通知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瑞丽市勐卯镇人民政府：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脱贫攻坚巩固提升资金（盘活财政收回后调整使用—本级—部门）215000元，2020年政府收支分类科目“2130599 其他扶贫支出”；政府预算支出经济分类科目“509对个人和家庭的补助”请专款专用，严格资金管理。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7E0157B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0E510FB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1F776A4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54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