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0816</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中华人民共和国畹町出入境边防检查站：</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位边境地区新冠肺炎疫情防控防治省级补助资金360,000.00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50204-机关商品和服务支出－专用材料购置费”，部门预算支出经济分类科目“30218-专用材料费”。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547435"/>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00286"/>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4E4CCF"/>
    <w:rsid w:val="2D6A603D"/>
    <w:rsid w:val="2D7B1C76"/>
    <w:rsid w:val="2D7E3940"/>
    <w:rsid w:val="2D912780"/>
    <w:rsid w:val="2DA356C0"/>
    <w:rsid w:val="2DB07E30"/>
    <w:rsid w:val="2DED0670"/>
    <w:rsid w:val="2E2E077D"/>
    <w:rsid w:val="2E601B7F"/>
    <w:rsid w:val="2EB3040F"/>
    <w:rsid w:val="2EB422AD"/>
    <w:rsid w:val="2EDC49E2"/>
    <w:rsid w:val="2EDE161E"/>
    <w:rsid w:val="2EF53F6F"/>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3FF14187"/>
    <w:rsid w:val="40097C32"/>
    <w:rsid w:val="40615F91"/>
    <w:rsid w:val="40A91E35"/>
    <w:rsid w:val="40BB4D32"/>
    <w:rsid w:val="40C35526"/>
    <w:rsid w:val="40D16EA5"/>
    <w:rsid w:val="40D9128D"/>
    <w:rsid w:val="40DE20BE"/>
    <w:rsid w:val="40F55554"/>
    <w:rsid w:val="412C60D4"/>
    <w:rsid w:val="413F1A6B"/>
    <w:rsid w:val="418A438E"/>
    <w:rsid w:val="423E3CDD"/>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9B6E95"/>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11</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