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6"/>
          <w:szCs w:val="36"/>
        </w:rPr>
      </w:pPr>
      <w:r>
        <w:rPr>
          <w:rFonts w:hint="eastAsia" w:ascii="黑体" w:hAnsi="黑体" w:eastAsia="黑体"/>
          <w:sz w:val="36"/>
          <w:szCs w:val="36"/>
          <w:lang w:eastAsia="zh-CN"/>
        </w:rPr>
        <w:t>瑞丽市</w:t>
      </w:r>
      <w:r>
        <w:rPr>
          <w:rFonts w:hint="eastAsia" w:ascii="黑体" w:hAnsi="黑体" w:eastAsia="黑体"/>
          <w:sz w:val="36"/>
          <w:szCs w:val="36"/>
        </w:rPr>
        <w:t>卫生监督大队2016年度部门决算</w:t>
      </w:r>
      <w:r>
        <w:rPr>
          <w:rFonts w:hint="eastAsia" w:ascii="黑体" w:hAnsi="黑体" w:eastAsia="黑体"/>
          <w:sz w:val="36"/>
          <w:szCs w:val="36"/>
          <w:lang w:eastAsia="zh-CN"/>
        </w:rPr>
        <w:t>公开说明</w:t>
      </w:r>
    </w:p>
    <w:p>
      <w:pPr>
        <w:jc w:val="center"/>
        <w:rPr>
          <w:rFonts w:asciiTheme="majorEastAsia" w:hAnsiTheme="majorEastAsia" w:eastAsiaTheme="majorEastAsia"/>
          <w:sz w:val="36"/>
          <w:szCs w:val="36"/>
        </w:rPr>
      </w:pPr>
    </w:p>
    <w:p>
      <w:pPr>
        <w:snapToGrid w:val="0"/>
        <w:ind w:firstLine="560" w:firstLineChars="200"/>
        <w:outlineLvl w:val="0"/>
        <w:rPr>
          <w:rFonts w:asciiTheme="majorEastAsia" w:hAnsiTheme="majorEastAsia" w:eastAsiaTheme="majorEastAsia"/>
          <w:sz w:val="28"/>
          <w:szCs w:val="28"/>
        </w:rPr>
      </w:pPr>
      <w:r>
        <w:rPr>
          <w:rFonts w:hint="eastAsia" w:asciiTheme="majorEastAsia" w:hAnsiTheme="majorEastAsia" w:eastAsiaTheme="majorEastAsia"/>
          <w:sz w:val="28"/>
          <w:szCs w:val="28"/>
        </w:rPr>
        <w:t>（一）基本情况</w:t>
      </w:r>
    </w:p>
    <w:p>
      <w:pPr>
        <w:ind w:firstLine="560" w:firstLineChars="200"/>
        <w:rPr>
          <w:rFonts w:cs="宋体" w:asciiTheme="majorEastAsia" w:hAnsiTheme="majorEastAsia" w:eastAsiaTheme="majorEastAsia"/>
          <w:sz w:val="28"/>
          <w:szCs w:val="28"/>
        </w:rPr>
      </w:pPr>
      <w:r>
        <w:rPr>
          <w:rFonts w:hint="eastAsia" w:asciiTheme="majorEastAsia" w:hAnsiTheme="majorEastAsia" w:eastAsiaTheme="majorEastAsia"/>
          <w:color w:val="FF0000"/>
          <w:sz w:val="28"/>
          <w:szCs w:val="28"/>
        </w:rPr>
        <w:t>　</w:t>
      </w:r>
      <w:r>
        <w:rPr>
          <w:rFonts w:hint="eastAsia" w:asciiTheme="majorEastAsia" w:hAnsiTheme="majorEastAsia" w:eastAsiaTheme="majorEastAsia"/>
          <w:sz w:val="28"/>
          <w:szCs w:val="28"/>
        </w:rPr>
        <w:t>为认真做好2016年瑞丽市公共场所卫生的重点检查工作，加大卫生监督执法力度，切实维护广大群众的健康权益。瑞丽市卫生监督大队根据瑞丽的实际情况，依据《公共场所卫生管理条例实施细则》、《中华人民共和国传染病防治法》、《生活饮用水卫生监督管理办法》、等其它相关卫生法律法规，对城区及乡下公共场所卫生管理措施的落实情况，住宿业、美容美发、游泳场所设施卫生状况及卫生管理制度工作等，进行了重点检查，</w:t>
      </w:r>
      <w:r>
        <w:rPr>
          <w:rFonts w:hint="eastAsia" w:asciiTheme="majorEastAsia" w:hAnsiTheme="majorEastAsia" w:eastAsiaTheme="majorEastAsia"/>
          <w:sz w:val="28"/>
          <w:szCs w:val="28"/>
          <w:lang w:eastAsia="zh-CN"/>
        </w:rPr>
        <w:t>截至</w:t>
      </w:r>
      <w:r>
        <w:rPr>
          <w:rFonts w:hint="eastAsia" w:asciiTheme="majorEastAsia" w:hAnsiTheme="majorEastAsia" w:eastAsiaTheme="majorEastAsia"/>
          <w:sz w:val="28"/>
          <w:szCs w:val="28"/>
        </w:rPr>
        <w:t>2016年12月31日，卫生监督大队共出动卫生监督员1201人次、出动车辆165辆次、检查住宿业567</w:t>
      </w:r>
      <w:r>
        <w:rPr>
          <w:rFonts w:hint="eastAsia" w:cs="宋体" w:asciiTheme="majorEastAsia" w:hAnsiTheme="majorEastAsia" w:eastAsiaTheme="majorEastAsia"/>
          <w:sz w:val="28"/>
          <w:szCs w:val="28"/>
        </w:rPr>
        <w:t>户、美容美发221户、沐浴场所13户、游泳池3户，共下发监督意见书298份。</w:t>
      </w:r>
    </w:p>
    <w:p>
      <w:pPr>
        <w:ind w:firstLine="554" w:firstLineChars="198"/>
        <w:rPr>
          <w:rFonts w:asciiTheme="majorEastAsia" w:hAnsiTheme="majorEastAsia" w:eastAsiaTheme="majorEastAsia"/>
          <w:color w:val="FF0000"/>
          <w:sz w:val="28"/>
          <w:szCs w:val="28"/>
        </w:rPr>
      </w:pPr>
    </w:p>
    <w:p>
      <w:pPr>
        <w:ind w:firstLine="554" w:firstLineChars="198"/>
        <w:rPr>
          <w:rFonts w:asciiTheme="majorEastAsia" w:hAnsiTheme="majorEastAsia" w:eastAsiaTheme="majorEastAsia"/>
          <w:sz w:val="28"/>
          <w:szCs w:val="28"/>
        </w:rPr>
      </w:pPr>
      <w:r>
        <w:rPr>
          <w:rFonts w:hint="eastAsia" w:asciiTheme="majorEastAsia" w:hAnsiTheme="majorEastAsia" w:eastAsiaTheme="majorEastAsia"/>
          <w:sz w:val="28"/>
          <w:szCs w:val="28"/>
        </w:rPr>
        <w:t>2．机构人员情况。</w:t>
      </w:r>
    </w:p>
    <w:p>
      <w:pPr>
        <w:ind w:firstLine="554" w:firstLineChars="198"/>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2016年末共有机构数1个，为全额一级预算单位，编制数15人，其中公务员13人，工勤2人，实际人数15人。 </w:t>
      </w:r>
    </w:p>
    <w:p>
      <w:pPr>
        <w:ind w:firstLine="554" w:firstLineChars="198"/>
        <w:rPr>
          <w:rFonts w:asciiTheme="majorEastAsia" w:hAnsiTheme="majorEastAsia" w:eastAsiaTheme="majorEastAsia"/>
          <w:sz w:val="28"/>
          <w:szCs w:val="28"/>
        </w:rPr>
      </w:pPr>
      <w:r>
        <w:rPr>
          <w:rFonts w:hint="eastAsia" w:asciiTheme="majorEastAsia" w:hAnsiTheme="majorEastAsia" w:eastAsiaTheme="majorEastAsia"/>
          <w:sz w:val="28"/>
          <w:szCs w:val="28"/>
        </w:rPr>
        <w:t>3．机构人员当年变动情况及原因。</w:t>
      </w:r>
    </w:p>
    <w:p>
      <w:pPr>
        <w:ind w:firstLine="554" w:firstLineChars="198"/>
        <w:rPr>
          <w:rFonts w:asciiTheme="majorEastAsia" w:hAnsiTheme="majorEastAsia" w:eastAsiaTheme="majorEastAsia"/>
          <w:sz w:val="28"/>
          <w:szCs w:val="28"/>
        </w:rPr>
      </w:pPr>
      <w:r>
        <w:rPr>
          <w:rFonts w:hint="eastAsia" w:asciiTheme="majorEastAsia" w:hAnsiTheme="majorEastAsia" w:eastAsiaTheme="majorEastAsia"/>
          <w:sz w:val="28"/>
          <w:szCs w:val="28"/>
        </w:rPr>
        <w:t>2016年机构人员实际人数增加2人，新晋公务员2人9月份参加工作。</w:t>
      </w:r>
    </w:p>
    <w:p>
      <w:pPr>
        <w:rPr>
          <w:rFonts w:asciiTheme="majorEastAsia" w:hAnsiTheme="majorEastAsia" w:eastAsiaTheme="majorEastAsia"/>
          <w:sz w:val="28"/>
          <w:szCs w:val="28"/>
        </w:rPr>
      </w:pPr>
    </w:p>
    <w:p>
      <w:pPr>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一、收入决算情况说明</w:t>
      </w:r>
    </w:p>
    <w:p>
      <w:pPr>
        <w:widowControl/>
        <w:snapToGrid w:val="0"/>
        <w:spacing w:before="100" w:after="100" w:line="600" w:lineRule="exact"/>
        <w:ind w:firstLine="538"/>
        <w:jc w:val="left"/>
        <w:rPr>
          <w:rFonts w:asciiTheme="majorEastAsia" w:hAnsiTheme="majorEastAsia" w:eastAsiaTheme="majorEastAsia"/>
          <w:sz w:val="28"/>
          <w:szCs w:val="28"/>
        </w:rPr>
      </w:pPr>
      <w:r>
        <w:rPr>
          <w:rFonts w:hint="eastAsia" w:asciiTheme="majorEastAsia" w:hAnsiTheme="majorEastAsia" w:eastAsiaTheme="majorEastAsia"/>
          <w:sz w:val="28"/>
          <w:szCs w:val="28"/>
        </w:rPr>
        <w:t>卫生监督大队2016年度收入合计155.70万元。其中：财政拨款收入155.70万元，占总收入的100%。与上年对比增加了748%，主要是</w:t>
      </w:r>
      <w:bookmarkStart w:id="2" w:name="_GoBack"/>
      <w:bookmarkEnd w:id="2"/>
      <w:r>
        <w:rPr>
          <w:rFonts w:hint="eastAsia" w:asciiTheme="majorEastAsia" w:hAnsiTheme="majorEastAsia" w:eastAsiaTheme="majorEastAsia"/>
          <w:sz w:val="28"/>
          <w:szCs w:val="28"/>
        </w:rPr>
        <w:t>因为增加了人员工资。</w:t>
      </w:r>
    </w:p>
    <w:p>
      <w:pPr>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二、支出决算情况说明</w:t>
      </w:r>
    </w:p>
    <w:p>
      <w:pPr>
        <w:ind w:firstLine="660"/>
        <w:rPr>
          <w:rFonts w:asciiTheme="majorEastAsia" w:hAnsiTheme="majorEastAsia" w:eastAsiaTheme="majorEastAsia"/>
          <w:sz w:val="28"/>
          <w:szCs w:val="28"/>
        </w:rPr>
      </w:pPr>
      <w:bookmarkStart w:id="0" w:name="OLE_LINK1"/>
      <w:bookmarkStart w:id="1" w:name="OLE_LINK2"/>
      <w:r>
        <w:rPr>
          <w:rFonts w:hint="eastAsia" w:asciiTheme="majorEastAsia" w:hAnsiTheme="majorEastAsia" w:eastAsiaTheme="majorEastAsia"/>
          <w:sz w:val="28"/>
          <w:szCs w:val="28"/>
        </w:rPr>
        <w:t>本年总支出157.91万元，其中财政补助支出157.91万元，财政补助支出占本年总支出的100%，其中人员经费支出1163899.5元，占总支出的73.7%，日常公用经费支出195145.99元，占总支出的12.35%。</w:t>
      </w:r>
      <w:bookmarkEnd w:id="0"/>
      <w:bookmarkEnd w:id="1"/>
      <w:r>
        <w:rPr>
          <w:rFonts w:hint="eastAsia" w:asciiTheme="majorEastAsia" w:hAnsiTheme="majorEastAsia" w:eastAsiaTheme="majorEastAsia"/>
          <w:sz w:val="28"/>
          <w:szCs w:val="28"/>
        </w:rPr>
        <w:t>项目支出220080元，占总支出的13.95%，与上年总支出188779.01元，相比增加了14.22%。原因是增加了公共卫生项目督导费。</w:t>
      </w:r>
    </w:p>
    <w:p>
      <w:pPr>
        <w:widowControl/>
        <w:snapToGrid w:val="0"/>
        <w:spacing w:before="100" w:after="100" w:line="60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（一）基本支出情况</w:t>
      </w:r>
    </w:p>
    <w:p>
      <w:pPr>
        <w:ind w:firstLine="660"/>
        <w:rPr>
          <w:rFonts w:asciiTheme="majorEastAsia" w:hAnsiTheme="majorEastAsia" w:eastAsiaTheme="majorEastAsia"/>
          <w:sz w:val="28"/>
          <w:szCs w:val="28"/>
        </w:rPr>
      </w:pPr>
      <w:r>
        <w:rPr>
          <w:rFonts w:hint="eastAsia" w:asciiTheme="majorEastAsia" w:hAnsiTheme="majorEastAsia" w:eastAsiaTheme="majorEastAsia"/>
          <w:sz w:val="28"/>
          <w:szCs w:val="28"/>
        </w:rPr>
        <w:t>本年总支出157.91万元，其中财政补助支出157.91万元，财政补助支出占本年总支出的100%，其中人员经费支出116.38万元，占总支出的73.7%，日常公用经费支出19.51万元，占总支出的12.35%。</w:t>
      </w:r>
    </w:p>
    <w:p>
      <w:pPr>
        <w:widowControl/>
        <w:snapToGrid w:val="0"/>
        <w:spacing w:before="100" w:after="100" w:line="60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（二）项目支出情况</w:t>
      </w:r>
    </w:p>
    <w:p>
      <w:pPr>
        <w:ind w:firstLine="660"/>
        <w:rPr>
          <w:rFonts w:asciiTheme="majorEastAsia" w:hAnsiTheme="majorEastAsia" w:eastAsiaTheme="majorEastAsia"/>
          <w:sz w:val="28"/>
          <w:szCs w:val="28"/>
        </w:rPr>
      </w:pPr>
      <w:r>
        <w:rPr>
          <w:rFonts w:hint="eastAsia" w:asciiTheme="majorEastAsia" w:hAnsiTheme="majorEastAsia" w:eastAsiaTheme="majorEastAsia"/>
          <w:sz w:val="28"/>
          <w:szCs w:val="28"/>
        </w:rPr>
        <w:t>2016年度用于保障卫生监督协管的工作推进，项目支出22万元，占总支出的13.95%。与上年总支出18.87万元相比增加了14.22%。原因是增加了公共卫生项目督导费。</w:t>
      </w:r>
    </w:p>
    <w:p>
      <w:pPr>
        <w:widowControl/>
        <w:snapToGrid w:val="0"/>
        <w:spacing w:before="100" w:after="100" w:line="600" w:lineRule="exact"/>
        <w:ind w:firstLine="560" w:firstLineChars="200"/>
        <w:jc w:val="left"/>
        <w:rPr>
          <w:rFonts w:asciiTheme="majorEastAsia" w:hAnsiTheme="majorEastAsia" w:eastAsiaTheme="majorEastAsia"/>
          <w:sz w:val="28"/>
          <w:szCs w:val="28"/>
        </w:rPr>
      </w:pPr>
    </w:p>
    <w:p>
      <w:pPr>
        <w:widowControl/>
        <w:snapToGrid w:val="0"/>
        <w:spacing w:before="100" w:after="100" w:line="60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三、一般公共预算财政拨款支出决算情况说明</w:t>
      </w:r>
    </w:p>
    <w:p>
      <w:pPr>
        <w:widowControl/>
        <w:snapToGrid w:val="0"/>
        <w:spacing w:before="100" w:after="100" w:line="60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（一）一般公共预算财政拨款支出决算总体情况</w:t>
      </w:r>
    </w:p>
    <w:p>
      <w:pPr>
        <w:ind w:firstLine="660"/>
        <w:rPr>
          <w:rFonts w:asciiTheme="majorEastAsia" w:hAnsiTheme="majorEastAsia" w:eastAsiaTheme="majorEastAsia"/>
          <w:sz w:val="28"/>
          <w:szCs w:val="28"/>
        </w:rPr>
      </w:pPr>
      <w:r>
        <w:rPr>
          <w:rFonts w:hint="eastAsia" w:asciiTheme="majorEastAsia" w:hAnsiTheme="majorEastAsia" w:eastAsiaTheme="majorEastAsia"/>
          <w:sz w:val="28"/>
          <w:szCs w:val="28"/>
        </w:rPr>
        <w:t>卫生监督大队2016年度一般公共预算财政拨款支出</w:t>
      </w:r>
      <w:r>
        <w:rPr>
          <w:rFonts w:hint="eastAsia" w:cs="Arial" w:asciiTheme="majorEastAsia" w:hAnsiTheme="majorEastAsia" w:eastAsiaTheme="majorEastAsia"/>
          <w:kern w:val="0"/>
          <w:sz w:val="28"/>
          <w:szCs w:val="28"/>
        </w:rPr>
        <w:t>157.91万元,占本年支出合计的</w:t>
      </w:r>
      <w:r>
        <w:rPr>
          <w:rFonts w:hint="eastAsia" w:asciiTheme="majorEastAsia" w:hAnsiTheme="majorEastAsia" w:eastAsiaTheme="majorEastAsia"/>
          <w:sz w:val="28"/>
          <w:szCs w:val="28"/>
        </w:rPr>
        <w:t>100</w:t>
      </w:r>
      <w:r>
        <w:rPr>
          <w:rFonts w:hint="eastAsia" w:cs="Arial" w:asciiTheme="majorEastAsia" w:hAnsiTheme="majorEastAsia" w:eastAsiaTheme="majorEastAsia"/>
          <w:kern w:val="0"/>
          <w:sz w:val="28"/>
          <w:szCs w:val="28"/>
        </w:rPr>
        <w:t>%。</w:t>
      </w:r>
      <w:r>
        <w:rPr>
          <w:rFonts w:hint="eastAsia" w:asciiTheme="majorEastAsia" w:hAnsiTheme="majorEastAsia" w:eastAsiaTheme="majorEastAsia"/>
          <w:sz w:val="28"/>
          <w:szCs w:val="28"/>
        </w:rPr>
        <w:t>与上年总支出121.45万元，相比增加了30.04%。原因是增加了公共卫生项目督导费。</w:t>
      </w:r>
    </w:p>
    <w:p>
      <w:pPr>
        <w:widowControl/>
        <w:snapToGrid w:val="0"/>
        <w:spacing w:before="100" w:after="100" w:line="600" w:lineRule="exact"/>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（二）一般公共预算财政拨款支出决算具体情况</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ab/>
      </w:r>
    </w:p>
    <w:p>
      <w:pPr>
        <w:widowControl/>
        <w:snapToGrid w:val="0"/>
        <w:spacing w:before="100" w:after="100" w:line="360" w:lineRule="auto"/>
        <w:ind w:firstLine="560" w:firstLineChars="200"/>
        <w:jc w:val="left"/>
        <w:rPr>
          <w:rFonts w:cs="Arial" w:asciiTheme="majorEastAsia" w:hAnsiTheme="majorEastAsia" w:eastAsiaTheme="majorEastAsia"/>
          <w:kern w:val="0"/>
          <w:sz w:val="28"/>
          <w:szCs w:val="28"/>
        </w:rPr>
      </w:pPr>
      <w:r>
        <w:rPr>
          <w:rFonts w:hint="eastAsia" w:cs="Arial" w:asciiTheme="majorEastAsia" w:hAnsiTheme="majorEastAsia" w:eastAsiaTheme="majorEastAsia"/>
          <w:kern w:val="0"/>
          <w:sz w:val="28"/>
          <w:szCs w:val="28"/>
        </w:rPr>
        <w:t>1.一般公共服务（类）支出</w:t>
      </w:r>
      <w:r>
        <w:rPr>
          <w:rFonts w:hint="eastAsia" w:asciiTheme="majorEastAsia" w:hAnsiTheme="majorEastAsia" w:eastAsiaTheme="majorEastAsia"/>
          <w:sz w:val="28"/>
          <w:szCs w:val="28"/>
        </w:rPr>
        <w:t>155.70</w:t>
      </w:r>
      <w:r>
        <w:rPr>
          <w:rFonts w:hint="eastAsia" w:cs="Arial" w:asciiTheme="majorEastAsia" w:hAnsiTheme="majorEastAsia" w:eastAsiaTheme="majorEastAsia"/>
          <w:kern w:val="0"/>
          <w:sz w:val="28"/>
          <w:szCs w:val="28"/>
        </w:rPr>
        <w:t>万元，</w:t>
      </w:r>
      <w:r>
        <w:rPr>
          <w:rFonts w:hint="eastAsia" w:asciiTheme="majorEastAsia" w:hAnsiTheme="majorEastAsia" w:eastAsiaTheme="majorEastAsia"/>
          <w:sz w:val="28"/>
          <w:szCs w:val="28"/>
        </w:rPr>
        <w:t>占一般公共预算财政拨款总支出的100%。</w:t>
      </w:r>
      <w:r>
        <w:rPr>
          <w:rFonts w:hint="eastAsia" w:cs="Arial" w:asciiTheme="majorEastAsia" w:hAnsiTheme="majorEastAsia" w:eastAsiaTheme="majorEastAsia"/>
          <w:kern w:val="0"/>
          <w:sz w:val="28"/>
          <w:szCs w:val="28"/>
        </w:rPr>
        <w:t>主要用于支付人员工资，日常公用经费等；</w:t>
      </w:r>
    </w:p>
    <w:p>
      <w:pPr>
        <w:widowControl/>
        <w:snapToGrid w:val="0"/>
        <w:spacing w:before="100" w:after="100" w:line="360"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四、一般公共预算财政拨款“三公”经费支出决算情况说明</w:t>
      </w:r>
    </w:p>
    <w:p>
      <w:pPr>
        <w:widowControl/>
        <w:snapToGrid w:val="0"/>
        <w:spacing w:before="100" w:after="100" w:line="360"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(一)“三公”经费财政拨款支出决算总体情况</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三公”经费总额3.13万元，其中公务用车经费2.65万元，公务接待费0.48万元，没有因公出国出境费；与上年决算数相比公务用车经费减少1%，原因是2016年公车改革，车辆暂停使用，但是登革热疫情防控中使用了公车，所以公车运行维护费减少幅度较小；公务接待费减少了74%。主要是2016年我单位积极开展厉行节约工作。2016年公务用车保有量3辆，没有因公出国（境）费开支，公务接待10批次共81人。</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（2）会议费支出情况：2015年无会议费支出。</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（3）人均基本支出=1163899.5÷14=83135.67元。</w:t>
      </w:r>
    </w:p>
    <w:p>
      <w:pPr>
        <w:ind w:firstLine="560" w:firstLineChars="200"/>
        <w:outlineLvl w:val="0"/>
        <w:rPr>
          <w:rFonts w:asciiTheme="majorEastAsia" w:hAnsiTheme="majorEastAsia" w:eastAsiaTheme="majorEastAsia"/>
          <w:sz w:val="28"/>
          <w:szCs w:val="28"/>
        </w:rPr>
      </w:pPr>
      <w:r>
        <w:rPr>
          <w:rFonts w:hint="eastAsia" w:asciiTheme="majorEastAsia" w:hAnsiTheme="majorEastAsia" w:eastAsiaTheme="majorEastAsia"/>
          <w:sz w:val="28"/>
          <w:szCs w:val="28"/>
        </w:rPr>
        <w:t>（三）年末结转和结余情况</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2016年末收支结余为84535元，其中财政补助结转基本支出结转84535元。</w:t>
      </w:r>
    </w:p>
    <w:p>
      <w:pPr>
        <w:widowControl/>
        <w:snapToGrid w:val="0"/>
        <w:spacing w:before="100" w:after="100" w:line="360"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五、其他重要事项及相关口径情况说明</w:t>
      </w:r>
    </w:p>
    <w:p>
      <w:pPr>
        <w:widowControl/>
        <w:snapToGrid w:val="0"/>
        <w:spacing w:before="100" w:after="100" w:line="360"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（一）其他重要事项情况说明</w:t>
      </w:r>
    </w:p>
    <w:p>
      <w:pPr>
        <w:ind w:firstLine="660"/>
        <w:rPr>
          <w:rFonts w:asciiTheme="majorEastAsia" w:hAnsiTheme="majorEastAsia" w:eastAsiaTheme="majorEastAsia"/>
          <w:sz w:val="28"/>
          <w:szCs w:val="28"/>
        </w:rPr>
      </w:pPr>
      <w:r>
        <w:rPr>
          <w:rFonts w:hint="eastAsia" w:asciiTheme="majorEastAsia" w:hAnsiTheme="majorEastAsia" w:eastAsiaTheme="majorEastAsia"/>
          <w:sz w:val="28"/>
          <w:szCs w:val="28"/>
        </w:rPr>
        <w:t>2016年末资产总值为1040732元，负债总值为元，资产负债率为0。在资产总值中，流动资产84535元，占8.12% ，固定资产956197元，占91.87%，在负债中，流动负债为0元，年末净资产为 1040732元，资产负债结构比较合理。与上年末资产总值1051708.99元相比，资产总值减少1.04%，与上年负债总值10070.9元相比，负债减少100%。</w:t>
      </w:r>
    </w:p>
    <w:p>
      <w:pPr>
        <w:widowControl/>
        <w:snapToGrid w:val="0"/>
        <w:spacing w:before="100" w:after="100" w:line="360"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（三）相关口径说明</w:t>
      </w:r>
    </w:p>
    <w:p>
      <w:pPr>
        <w:widowControl/>
        <w:snapToGrid w:val="0"/>
        <w:spacing w:before="100" w:after="100" w:line="360" w:lineRule="auto"/>
        <w:ind w:firstLine="560" w:firstLineChars="200"/>
        <w:jc w:val="left"/>
        <w:rPr>
          <w:rFonts w:asciiTheme="majorEastAsia" w:hAnsiTheme="majorEastAsia" w:eastAsiaTheme="majorEastAsia"/>
          <w:sz w:val="28"/>
          <w:szCs w:val="28"/>
        </w:rPr>
      </w:pPr>
      <w:r>
        <w:rPr>
          <w:rFonts w:hint="eastAsia" w:cs="Arial" w:asciiTheme="majorEastAsia" w:hAnsiTheme="majorEastAsia" w:eastAsiaTheme="majorEastAsia"/>
          <w:kern w:val="0"/>
          <w:sz w:val="28"/>
          <w:szCs w:val="28"/>
        </w:rPr>
        <w:t>1．</w:t>
      </w:r>
      <w:r>
        <w:rPr>
          <w:rFonts w:hint="eastAsia" w:asciiTheme="majorEastAsia" w:hAnsiTheme="majorEastAsia" w:eastAsiaTheme="majorEastAsia"/>
          <w:sz w:val="28"/>
          <w:szCs w:val="28"/>
        </w:rPr>
        <w:t>基本支出中人员经费包括工资福利支出和对个人和家庭的补助，日常公用支出包括商品和服务支出、其他资本性支出等人员经费以外的支出。</w:t>
      </w:r>
    </w:p>
    <w:p>
      <w:pPr>
        <w:widowControl/>
        <w:snapToGrid w:val="0"/>
        <w:spacing w:before="100" w:after="100" w:line="360" w:lineRule="auto"/>
        <w:ind w:firstLine="560" w:firstLineChars="2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2．机关运行经费指行政单位和参照公务员法管理的事业单位使用一般公共预算财政拨款安排的基本支出中的日常公用经费支出。</w:t>
      </w:r>
    </w:p>
    <w:p>
      <w:pPr>
        <w:widowControl/>
        <w:snapToGrid w:val="0"/>
        <w:spacing w:before="100" w:after="100" w:line="360" w:lineRule="auto"/>
        <w:ind w:firstLine="560" w:firstLineChars="200"/>
        <w:jc w:val="left"/>
        <w:rPr>
          <w:rFonts w:asciiTheme="majorEastAsia" w:hAnsiTheme="majorEastAsia" w:eastAsiaTheme="majorEastAsia"/>
          <w:sz w:val="28"/>
          <w:szCs w:val="28"/>
        </w:rPr>
      </w:pPr>
      <w:r>
        <w:rPr>
          <w:rFonts w:hint="eastAsia" w:cs="Arial" w:asciiTheme="majorEastAsia" w:hAnsiTheme="majorEastAsia" w:eastAsiaTheme="majorEastAsia"/>
          <w:kern w:val="0"/>
          <w:sz w:val="28"/>
          <w:szCs w:val="28"/>
        </w:rPr>
        <w:t>3．</w:t>
      </w:r>
      <w:r>
        <w:rPr>
          <w:rFonts w:hint="eastAsia" w:asciiTheme="majorEastAsia" w:hAnsiTheme="majorEastAsia" w:eastAsiaTheme="majorEastAsia"/>
          <w:sz w:val="28"/>
          <w:szCs w:val="28"/>
        </w:rPr>
        <w:t>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pPr>
        <w:widowControl/>
        <w:snapToGrid w:val="0"/>
        <w:spacing w:before="100" w:after="100" w:line="360" w:lineRule="auto"/>
        <w:ind w:firstLine="560" w:firstLineChars="200"/>
        <w:jc w:val="left"/>
        <w:rPr>
          <w:rFonts w:hint="eastAsia" w:asciiTheme="majorEastAsia" w:hAnsiTheme="majorEastAsia" w:eastAsiaTheme="majorEastAsia"/>
          <w:sz w:val="28"/>
          <w:szCs w:val="28"/>
        </w:rPr>
      </w:pPr>
      <w:r>
        <w:rPr>
          <w:rFonts w:hint="eastAsia" w:cs="Arial" w:asciiTheme="majorEastAsia" w:hAnsiTheme="majorEastAsia" w:eastAsiaTheme="majorEastAsia"/>
          <w:kern w:val="0"/>
          <w:sz w:val="28"/>
          <w:szCs w:val="28"/>
        </w:rPr>
        <w:t>4.</w:t>
      </w:r>
      <w:r>
        <w:rPr>
          <w:rFonts w:hint="eastAsia" w:asciiTheme="majorEastAsia" w:hAnsiTheme="majorEastAsia" w:eastAsiaTheme="majorEastAsia"/>
          <w:sz w:val="28"/>
          <w:szCs w:val="28"/>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widowControl/>
        <w:snapToGrid w:val="0"/>
        <w:spacing w:before="100" w:after="100" w:line="360" w:lineRule="auto"/>
        <w:jc w:val="left"/>
        <w:rPr>
          <w:rFonts w:asciiTheme="majorEastAsia" w:hAnsiTheme="majorEastAsia" w:eastAsiaTheme="majorEastAsia"/>
          <w:sz w:val="28"/>
          <w:szCs w:val="28"/>
        </w:rPr>
      </w:pPr>
      <w:r>
        <w:rPr>
          <w:rFonts w:hint="eastAsia" w:asciiTheme="majorEastAsia" w:hAnsiTheme="majorEastAsia" w:eastAsiaTheme="majorEastAsia"/>
          <w:sz w:val="28"/>
          <w:szCs w:val="28"/>
        </w:rPr>
        <w:t>五、政府采购安排情况</w:t>
      </w:r>
    </w:p>
    <w:p>
      <w:pPr>
        <w:widowControl/>
        <w:snapToGrid w:val="0"/>
        <w:spacing w:before="100" w:after="100" w:line="360" w:lineRule="auto"/>
        <w:ind w:firstLine="555"/>
        <w:jc w:val="lef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2016年政府采购安排情况为11.57万元，其中采购货物10.1万元，主要购买办公设备和办公用品，采购服务1.47万元，主要用于办公网络使用及办公OA系统使用费。</w:t>
      </w:r>
    </w:p>
    <w:p>
      <w:pPr>
        <w:widowControl/>
        <w:snapToGrid w:val="0"/>
        <w:spacing w:before="100" w:after="100" w:line="360" w:lineRule="auto"/>
        <w:jc w:val="left"/>
        <w:rPr>
          <w:rFonts w:asciiTheme="majorEastAsia" w:hAnsiTheme="majorEastAsia" w:eastAsiaTheme="majorEastAsia"/>
          <w:sz w:val="28"/>
          <w:szCs w:val="28"/>
        </w:rPr>
      </w:pPr>
      <w:r>
        <w:rPr>
          <w:rFonts w:hint="eastAsia" w:asciiTheme="majorEastAsia" w:hAnsiTheme="majorEastAsia" w:eastAsiaTheme="majorEastAsia"/>
          <w:sz w:val="28"/>
          <w:szCs w:val="28"/>
        </w:rPr>
        <w:t>六、机关运行经费支出情况</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瑞丽市卫生监督大队2016年机关运行经费支出41.51万元，用于在职和退休人员的日常公用经费支出。日常公用经费支出19.51万元，占总支出的12.35%。项目支出22万元，占总支出的13.95%，与上年项目总支出18.87万元，相比增加了14.22%。原因是增加了公共卫生项目督导费。</w:t>
      </w:r>
    </w:p>
    <w:p>
      <w:pPr>
        <w:ind w:firstLine="560" w:firstLineChars="200"/>
        <w:rPr>
          <w:rFonts w:ascii="宋体" w:hAnsi="宋体"/>
          <w:sz w:val="28"/>
          <w:szCs w:val="28"/>
        </w:rPr>
      </w:pPr>
    </w:p>
    <w:p>
      <w:pPr>
        <w:widowControl/>
        <w:snapToGrid w:val="0"/>
        <w:spacing w:before="100" w:after="100" w:line="360" w:lineRule="auto"/>
        <w:ind w:firstLine="555"/>
        <w:jc w:val="left"/>
        <w:rPr>
          <w:rFonts w:ascii="宋体" w:hAnsi="宋体"/>
          <w:b/>
          <w:sz w:val="28"/>
          <w:szCs w:val="28"/>
        </w:rPr>
      </w:pPr>
    </w:p>
    <w:p>
      <w:pPr>
        <w:widowControl/>
        <w:snapToGrid w:val="0"/>
        <w:spacing w:before="100" w:after="100" w:line="360" w:lineRule="auto"/>
        <w:ind w:firstLine="560" w:firstLineChars="200"/>
        <w:jc w:val="left"/>
        <w:rPr>
          <w:rFonts w:ascii="宋体" w:hAnsi="宋体"/>
          <w:sz w:val="28"/>
          <w:szCs w:val="28"/>
        </w:rPr>
      </w:pPr>
    </w:p>
    <w:p>
      <w:pPr>
        <w:spacing w:line="600" w:lineRule="exact"/>
        <w:ind w:firstLine="560" w:firstLineChars="200"/>
        <w:rPr>
          <w:rFonts w:ascii="宋体" w:hAnsi="宋体"/>
          <w:sz w:val="28"/>
          <w:szCs w:val="28"/>
        </w:rPr>
      </w:pPr>
    </w:p>
    <w:p>
      <w:pPr>
        <w:spacing w:line="600" w:lineRule="exact"/>
        <w:rPr>
          <w:rFonts w:ascii="宋体" w:hAnsi="宋体"/>
          <w:sz w:val="28"/>
          <w:szCs w:val="28"/>
        </w:rPr>
      </w:pPr>
    </w:p>
    <w:p>
      <w:pPr>
        <w:spacing w:line="600" w:lineRule="exact"/>
        <w:ind w:firstLine="560" w:firstLineChars="200"/>
        <w:rPr>
          <w:rFonts w:ascii="宋体" w:hAnsi="宋体"/>
          <w:sz w:val="28"/>
          <w:szCs w:val="28"/>
        </w:rPr>
      </w:pPr>
      <w:r>
        <w:rPr>
          <w:rFonts w:hint="eastAsia" w:ascii="宋体" w:hAnsi="宋体"/>
          <w:sz w:val="28"/>
          <w:szCs w:val="28"/>
        </w:rPr>
        <w:t xml:space="preserve">                                      瑞丽市卫生监督大队</w:t>
      </w:r>
    </w:p>
    <w:p>
      <w:pPr>
        <w:spacing w:line="600" w:lineRule="exact"/>
        <w:ind w:firstLine="560" w:firstLineChars="200"/>
        <w:rPr>
          <w:rFonts w:ascii="宋体" w:hAnsi="宋体"/>
          <w:sz w:val="28"/>
          <w:szCs w:val="28"/>
        </w:rPr>
      </w:pPr>
      <w:r>
        <w:rPr>
          <w:rFonts w:hint="eastAsia" w:ascii="宋体" w:hAnsi="宋体"/>
          <w:sz w:val="28"/>
          <w:szCs w:val="28"/>
        </w:rPr>
        <w:t xml:space="preserve">                                         </w:t>
      </w:r>
      <w:r>
        <w:rPr>
          <w:rFonts w:ascii="宋体" w:hAnsi="宋体"/>
          <w:sz w:val="28"/>
          <w:szCs w:val="28"/>
        </w:rPr>
        <w:t>2017年10月</w:t>
      </w:r>
      <w:r>
        <w:rPr>
          <w:rFonts w:hint="eastAsia" w:ascii="宋体" w:hAnsi="宋体"/>
          <w:sz w:val="28"/>
          <w:szCs w:val="28"/>
        </w:rPr>
        <w:t>15</w:t>
      </w:r>
      <w:r>
        <w:rPr>
          <w:rFonts w:ascii="宋体" w:hAnsi="宋体"/>
          <w:sz w:val="28"/>
          <w:szCs w:val="28"/>
        </w:rPr>
        <w:t>日</w:t>
      </w: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8E"/>
    <w:rsid w:val="00014033"/>
    <w:rsid w:val="00015917"/>
    <w:rsid w:val="00022532"/>
    <w:rsid w:val="0003511E"/>
    <w:rsid w:val="00062B68"/>
    <w:rsid w:val="000913E4"/>
    <w:rsid w:val="000A6010"/>
    <w:rsid w:val="000C3242"/>
    <w:rsid w:val="0010004D"/>
    <w:rsid w:val="001263DA"/>
    <w:rsid w:val="001374A6"/>
    <w:rsid w:val="001536A4"/>
    <w:rsid w:val="00154575"/>
    <w:rsid w:val="00162E85"/>
    <w:rsid w:val="00172A27"/>
    <w:rsid w:val="001749E4"/>
    <w:rsid w:val="001A0E45"/>
    <w:rsid w:val="001A3A9F"/>
    <w:rsid w:val="001C2096"/>
    <w:rsid w:val="001C6512"/>
    <w:rsid w:val="00224AF2"/>
    <w:rsid w:val="002360A6"/>
    <w:rsid w:val="0029065D"/>
    <w:rsid w:val="002A35DC"/>
    <w:rsid w:val="002B295A"/>
    <w:rsid w:val="002D0360"/>
    <w:rsid w:val="002E1618"/>
    <w:rsid w:val="002E4107"/>
    <w:rsid w:val="00371195"/>
    <w:rsid w:val="00392FEE"/>
    <w:rsid w:val="003938CD"/>
    <w:rsid w:val="003A263E"/>
    <w:rsid w:val="003E167F"/>
    <w:rsid w:val="003F462A"/>
    <w:rsid w:val="00430657"/>
    <w:rsid w:val="0045007E"/>
    <w:rsid w:val="004636A8"/>
    <w:rsid w:val="0048090A"/>
    <w:rsid w:val="0049341E"/>
    <w:rsid w:val="004C67C2"/>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E4A61"/>
    <w:rsid w:val="006021EC"/>
    <w:rsid w:val="00607AF7"/>
    <w:rsid w:val="00620C90"/>
    <w:rsid w:val="0062634D"/>
    <w:rsid w:val="00640B67"/>
    <w:rsid w:val="006546F4"/>
    <w:rsid w:val="0066092E"/>
    <w:rsid w:val="00697350"/>
    <w:rsid w:val="006A112F"/>
    <w:rsid w:val="006C4F21"/>
    <w:rsid w:val="006D02F7"/>
    <w:rsid w:val="006E45B7"/>
    <w:rsid w:val="007249B2"/>
    <w:rsid w:val="00734A8A"/>
    <w:rsid w:val="00770687"/>
    <w:rsid w:val="00776986"/>
    <w:rsid w:val="007A132A"/>
    <w:rsid w:val="007A375D"/>
    <w:rsid w:val="007A61A0"/>
    <w:rsid w:val="007B0761"/>
    <w:rsid w:val="007B4F9A"/>
    <w:rsid w:val="007B548C"/>
    <w:rsid w:val="007B65F4"/>
    <w:rsid w:val="007D1D2B"/>
    <w:rsid w:val="007D5A1D"/>
    <w:rsid w:val="007E38F7"/>
    <w:rsid w:val="007F0EE2"/>
    <w:rsid w:val="007F5A68"/>
    <w:rsid w:val="007F6762"/>
    <w:rsid w:val="008066B7"/>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50DD"/>
    <w:rsid w:val="009E7A81"/>
    <w:rsid w:val="009F0254"/>
    <w:rsid w:val="00A07799"/>
    <w:rsid w:val="00A3510F"/>
    <w:rsid w:val="00A60382"/>
    <w:rsid w:val="00A712DC"/>
    <w:rsid w:val="00A72DA9"/>
    <w:rsid w:val="00A77BF1"/>
    <w:rsid w:val="00A86C65"/>
    <w:rsid w:val="00A94999"/>
    <w:rsid w:val="00A96DEB"/>
    <w:rsid w:val="00AC573F"/>
    <w:rsid w:val="00B4333E"/>
    <w:rsid w:val="00B5366F"/>
    <w:rsid w:val="00B80AAC"/>
    <w:rsid w:val="00B81D10"/>
    <w:rsid w:val="00B9604E"/>
    <w:rsid w:val="00BA3948"/>
    <w:rsid w:val="00BB3509"/>
    <w:rsid w:val="00BC73ED"/>
    <w:rsid w:val="00BE3E47"/>
    <w:rsid w:val="00BE7B81"/>
    <w:rsid w:val="00BF0A0B"/>
    <w:rsid w:val="00C0360F"/>
    <w:rsid w:val="00C236BC"/>
    <w:rsid w:val="00C3042C"/>
    <w:rsid w:val="00C35F72"/>
    <w:rsid w:val="00C37B42"/>
    <w:rsid w:val="00C430D2"/>
    <w:rsid w:val="00C4706B"/>
    <w:rsid w:val="00C53096"/>
    <w:rsid w:val="00CD4CE9"/>
    <w:rsid w:val="00CF57A2"/>
    <w:rsid w:val="00D1253E"/>
    <w:rsid w:val="00D2484E"/>
    <w:rsid w:val="00DA0649"/>
    <w:rsid w:val="00DB67A4"/>
    <w:rsid w:val="00DC77E2"/>
    <w:rsid w:val="00E36604"/>
    <w:rsid w:val="00E662AA"/>
    <w:rsid w:val="00E769E8"/>
    <w:rsid w:val="00E80B36"/>
    <w:rsid w:val="00E9395C"/>
    <w:rsid w:val="00EA2124"/>
    <w:rsid w:val="00EB72AA"/>
    <w:rsid w:val="00EC24BF"/>
    <w:rsid w:val="00ED3A50"/>
    <w:rsid w:val="00ED7654"/>
    <w:rsid w:val="00EE750D"/>
    <w:rsid w:val="00F37401"/>
    <w:rsid w:val="00F44882"/>
    <w:rsid w:val="00F55DA7"/>
    <w:rsid w:val="00F73DAF"/>
    <w:rsid w:val="00F74193"/>
    <w:rsid w:val="00F94DB0"/>
    <w:rsid w:val="00FA48DF"/>
    <w:rsid w:val="00FD3FBB"/>
    <w:rsid w:val="00FF6A71"/>
    <w:rsid w:val="18B04F45"/>
    <w:rsid w:val="25EC6D0E"/>
    <w:rsid w:val="554E5119"/>
    <w:rsid w:val="715A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2114</Words>
  <Characters>490</Characters>
  <Lines>4</Lines>
  <Paragraphs>5</Paragraphs>
  <TotalTime>1</TotalTime>
  <ScaleCrop>false</ScaleCrop>
  <LinksUpToDate>false</LinksUpToDate>
  <CharactersWithSpaces>2599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2017-10-23T07:39:00Z</dcterms:created>
  <dc:creator>赵树子</dc:creator>
  <cp:lastModifiedBy>瑞丽市财政局收发员1</cp:lastModifiedBy>
  <cp:lastPrinted>2013-05-12T07:06:00Z</cp:lastPrinted>
  <dcterms:modified xsi:type="dcterms:W3CDTF">2024-09-26T03:42:21Z</dcterms:modified>
  <dc:title>四川省财政厅2011年部门预算编制说明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