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B23D3">
      <w:pPr>
        <w:snapToGrid w:val="0"/>
        <w:jc w:val="center"/>
        <w:rPr>
          <w:rFonts w:ascii="方正小标宋简体" w:hAnsi="仿宋" w:eastAsia="方正小标宋简体"/>
          <w:sz w:val="36"/>
          <w:szCs w:val="36"/>
        </w:rPr>
      </w:pPr>
      <w:r>
        <w:rPr>
          <w:rFonts w:hint="eastAsia" w:ascii="方正小标宋简体" w:hAnsi="仿宋" w:eastAsia="方正小标宋简体"/>
          <w:b/>
          <w:sz w:val="44"/>
          <w:szCs w:val="44"/>
        </w:rPr>
        <w:t>关于</w:t>
      </w:r>
      <w:r>
        <w:rPr>
          <w:rFonts w:hint="eastAsia" w:ascii="方正小标宋简体" w:hAnsi="仿宋" w:eastAsia="方正小标宋简体"/>
          <w:b/>
          <w:sz w:val="44"/>
          <w:szCs w:val="44"/>
          <w:lang w:val="en-US"/>
        </w:rPr>
        <w:t>云南瑞丽标准厂房聚集区—服装电子产业园配套用房建设项目</w:t>
      </w:r>
      <w:r>
        <w:rPr>
          <w:rFonts w:hint="eastAsia" w:ascii="方正小标宋简体" w:hAnsi="仿宋" w:eastAsia="方正小标宋简体"/>
          <w:b/>
          <w:sz w:val="44"/>
          <w:szCs w:val="44"/>
          <w:lang w:eastAsia="zh-CN"/>
        </w:rPr>
        <w:t>简介</w:t>
      </w:r>
    </w:p>
    <w:p w14:paraId="03F02C53">
      <w:pPr>
        <w:rPr>
          <w:rFonts w:hint="eastAsia" w:ascii="仿宋" w:hAnsi="仿宋" w:eastAsia="仿宋"/>
          <w:b/>
          <w:bCs/>
          <w:sz w:val="32"/>
          <w:szCs w:val="32"/>
          <w:lang w:val="en-US" w:eastAsia="zh-CN"/>
        </w:rPr>
      </w:pPr>
    </w:p>
    <w:p w14:paraId="162CC941">
      <w:pPr>
        <w:ind w:firstLine="321" w:firstLineChars="1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一、基本情况</w:t>
      </w:r>
    </w:p>
    <w:p w14:paraId="30515FD3">
      <w:pPr>
        <w:pStyle w:val="5"/>
        <w:widowControl w:val="0"/>
        <w:numPr>
          <w:ilvl w:val="0"/>
          <w:numId w:val="2"/>
        </w:numPr>
        <w:spacing w:before="0" w:after="0" w:line="600" w:lineRule="exact"/>
        <w:ind w:left="-220" w:leftChars="0" w:firstLine="640" w:firstLineChars="0"/>
        <w:rPr>
          <w:rFonts w:ascii="仿宋" w:hAnsi="仿宋" w:eastAsia="仿宋"/>
          <w:kern w:val="2"/>
          <w:sz w:val="32"/>
          <w:szCs w:val="32"/>
          <w:lang w:val="en-US"/>
        </w:rPr>
      </w:pPr>
      <w:r>
        <w:rPr>
          <w:rFonts w:ascii="仿宋" w:hAnsi="仿宋" w:eastAsia="仿宋"/>
          <w:kern w:val="2"/>
          <w:sz w:val="32"/>
          <w:szCs w:val="32"/>
          <w:lang w:val="en-US"/>
        </w:rPr>
        <w:t>项目名称：</w:t>
      </w:r>
      <w:r>
        <w:rPr>
          <w:rFonts w:hint="eastAsia" w:ascii="Times New Roman" w:hAnsi="Times New Roman" w:eastAsia="仿宋_GB2312"/>
          <w:kern w:val="2"/>
          <w:sz w:val="32"/>
          <w:szCs w:val="32"/>
          <w:lang w:val="en-US"/>
        </w:rPr>
        <w:t>云南瑞丽标准厂房聚集区—服装电子产业园配套用房建设项目</w:t>
      </w:r>
      <w:r>
        <w:rPr>
          <w:rFonts w:ascii="仿宋" w:hAnsi="仿宋" w:eastAsia="仿宋"/>
          <w:kern w:val="2"/>
          <w:sz w:val="32"/>
          <w:szCs w:val="32"/>
          <w:lang w:val="en-US" w:eastAsia="zh-CN"/>
        </w:rPr>
        <w:t xml:space="preserve"> </w:t>
      </w:r>
    </w:p>
    <w:p w14:paraId="58F39F46">
      <w:pPr>
        <w:pStyle w:val="5"/>
        <w:widowControl w:val="0"/>
        <w:numPr>
          <w:ilvl w:val="0"/>
          <w:numId w:val="2"/>
        </w:numPr>
        <w:spacing w:before="0" w:after="0" w:line="600" w:lineRule="exact"/>
        <w:ind w:left="-220" w:leftChars="0" w:firstLine="640" w:firstLineChars="0"/>
        <w:rPr>
          <w:rFonts w:hint="eastAsia" w:ascii="仿宋" w:hAnsi="仿宋" w:eastAsia="仿宋"/>
          <w:kern w:val="2"/>
          <w:sz w:val="32"/>
          <w:szCs w:val="32"/>
          <w:u w:val="none"/>
          <w:lang w:val="en-US" w:eastAsia="zh-CN"/>
        </w:rPr>
      </w:pPr>
      <w:bookmarkStart w:id="0" w:name="OLE_LINK8"/>
      <w:r>
        <w:rPr>
          <w:rFonts w:ascii="仿宋" w:hAnsi="仿宋" w:eastAsia="仿宋"/>
          <w:kern w:val="2"/>
          <w:sz w:val="32"/>
          <w:szCs w:val="32"/>
          <w:u w:val="none"/>
          <w:lang w:val="en-US" w:eastAsia="zh-CN"/>
        </w:rPr>
        <w:t>项目建设地点</w:t>
      </w:r>
      <w:bookmarkEnd w:id="0"/>
      <w:r>
        <w:rPr>
          <w:rFonts w:ascii="仿宋" w:hAnsi="仿宋" w:eastAsia="仿宋"/>
          <w:kern w:val="2"/>
          <w:sz w:val="32"/>
          <w:szCs w:val="32"/>
          <w:u w:val="none"/>
          <w:lang w:val="en-US" w:eastAsia="zh-CN"/>
        </w:rPr>
        <w:t>：</w:t>
      </w:r>
      <w:r>
        <w:rPr>
          <w:rFonts w:hint="eastAsia" w:ascii="Times New Roman" w:hAnsi="Times New Roman" w:eastAsia="仿宋_GB2312"/>
          <w:kern w:val="2"/>
          <w:sz w:val="32"/>
          <w:szCs w:val="32"/>
          <w:lang w:val="en-US"/>
        </w:rPr>
        <w:t>瑞丽市</w:t>
      </w:r>
      <w:r>
        <w:rPr>
          <w:rFonts w:hint="eastAsia" w:ascii="Times New Roman" w:hAnsi="Times New Roman" w:eastAsia="仿宋_GB2312"/>
          <w:kern w:val="2"/>
          <w:sz w:val="32"/>
          <w:szCs w:val="32"/>
          <w:lang w:val="en-US" w:eastAsia="zh-CN"/>
        </w:rPr>
        <w:t>环山工业园区</w:t>
      </w:r>
    </w:p>
    <w:p w14:paraId="38D85319">
      <w:pPr>
        <w:pStyle w:val="5"/>
        <w:widowControl w:val="0"/>
        <w:numPr>
          <w:ilvl w:val="0"/>
          <w:numId w:val="2"/>
        </w:numPr>
        <w:spacing w:before="0" w:after="0" w:line="600" w:lineRule="exact"/>
        <w:ind w:left="-220" w:leftChars="0" w:firstLine="640" w:firstLineChars="0"/>
        <w:rPr>
          <w:rFonts w:ascii="仿宋" w:hAnsi="仿宋" w:eastAsia="仿宋"/>
          <w:kern w:val="2"/>
          <w:sz w:val="32"/>
          <w:szCs w:val="32"/>
          <w:lang w:val="en-US"/>
        </w:rPr>
      </w:pPr>
      <w:r>
        <w:rPr>
          <w:rFonts w:ascii="仿宋" w:hAnsi="仿宋" w:eastAsia="仿宋"/>
          <w:kern w:val="2"/>
          <w:sz w:val="32"/>
          <w:szCs w:val="32"/>
          <w:lang w:val="en-US"/>
        </w:rPr>
        <w:t>项目建设内容和产出：</w:t>
      </w:r>
    </w:p>
    <w:p w14:paraId="0394D4D6">
      <w:pPr>
        <w:pStyle w:val="5"/>
        <w:spacing w:before="0" w:after="0" w:line="560" w:lineRule="exact"/>
        <w:ind w:firstLine="640" w:firstLineChars="200"/>
        <w:rPr>
          <w:rFonts w:hint="eastAsia" w:ascii="Times New Roman" w:hAnsi="Times New Roman" w:eastAsia="仿宋_GB2312"/>
          <w:kern w:val="2"/>
          <w:sz w:val="32"/>
          <w:szCs w:val="32"/>
          <w:lang w:val="en-US"/>
        </w:rPr>
      </w:pPr>
      <w:r>
        <w:rPr>
          <w:rFonts w:hint="eastAsia" w:ascii="Times New Roman" w:hAnsi="Times New Roman" w:eastAsia="仿宋_GB2312"/>
          <w:kern w:val="2"/>
          <w:sz w:val="32"/>
          <w:szCs w:val="32"/>
          <w:lang w:val="en-US"/>
        </w:rPr>
        <w:t>建设目标：瑞丽市进出口加工制造基地服装电子信息产业园以轻工业、先进制造业和物流业基地为主，作为瑞丽市进出口加工制造基地的延伸部分，将成为与滇中经济圈、对外重要的出口贸易加工区和经贸窗口。项目建设将依托瑞丽城市发展大背景及瑞丽市进出口加工制造基地建设的持续推动，在良好的区位及交通条件支持下，大力发展服装产业加工、高精电子机械加工，以电子商务、云计算、物联网、微电子和软件研发等领域企业的孵化培育为核心，打造一个全新的服装电子产业园区，并大力完善其配套用房建设。以多功能标准化厂房为载体，充分发挥土地、资金、技术信息、人才、管理、环境等集合优势，实</w:t>
      </w:r>
      <w:bookmarkStart w:id="1" w:name="OLE_LINK9"/>
      <w:r>
        <w:rPr>
          <w:rFonts w:hint="eastAsia" w:ascii="Times New Roman" w:hAnsi="Times New Roman" w:eastAsia="仿宋_GB2312"/>
          <w:kern w:val="2"/>
          <w:sz w:val="32"/>
          <w:szCs w:val="32"/>
          <w:lang w:val="en-US"/>
        </w:rPr>
        <w:t>现各要素的整合聚集，逐步形成具有园区特色的优势产业集群，不断提升全区工业经济整体竞争力，最终达到“工业强区”的目标</w:t>
      </w:r>
      <w:bookmarkEnd w:id="1"/>
      <w:r>
        <w:rPr>
          <w:rFonts w:hint="eastAsia" w:ascii="Times New Roman" w:hAnsi="Times New Roman" w:eastAsia="仿宋_GB2312"/>
          <w:kern w:val="2"/>
          <w:sz w:val="32"/>
          <w:szCs w:val="32"/>
          <w:lang w:val="en-US"/>
        </w:rPr>
        <w:t>。</w:t>
      </w:r>
    </w:p>
    <w:p w14:paraId="282EF916">
      <w:pPr>
        <w:pStyle w:val="5"/>
        <w:spacing w:before="0" w:after="0" w:line="560" w:lineRule="exact"/>
        <w:ind w:firstLine="640" w:firstLineChars="200"/>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rPr>
        <w:t>建设内容及技术规模指标：项目总规划用地 147629.89 平方米</w:t>
      </w:r>
      <w:r>
        <w:rPr>
          <w:rFonts w:hint="eastAsia" w:ascii="Times New Roman" w:hAnsi="Times New Roman" w:eastAsia="仿宋_GB2312"/>
          <w:kern w:val="2"/>
          <w:sz w:val="32"/>
          <w:szCs w:val="32"/>
          <w:lang w:val="en-US" w:eastAsia="zh-CN"/>
        </w:rPr>
        <w:t>（</w:t>
      </w:r>
      <w:r>
        <w:rPr>
          <w:rFonts w:hint="eastAsia" w:ascii="Times New Roman" w:hAnsi="Times New Roman" w:eastAsia="仿宋_GB2312"/>
          <w:kern w:val="2"/>
          <w:sz w:val="32"/>
          <w:szCs w:val="32"/>
          <w:lang w:val="en-US"/>
        </w:rPr>
        <w:t>约221.43</w:t>
      </w:r>
      <w:r>
        <w:rPr>
          <w:rFonts w:hint="eastAsia" w:ascii="Times New Roman" w:hAnsi="Times New Roman" w:eastAsia="仿宋_GB2312"/>
          <w:kern w:val="2"/>
          <w:sz w:val="32"/>
          <w:szCs w:val="32"/>
          <w:lang w:val="en-US" w:eastAsia="zh-CN"/>
        </w:rPr>
        <w:t>）</w:t>
      </w:r>
      <w:r>
        <w:rPr>
          <w:rFonts w:hint="eastAsia" w:ascii="Times New Roman" w:hAnsi="Times New Roman" w:eastAsia="仿宋_GB2312"/>
          <w:kern w:val="2"/>
          <w:sz w:val="32"/>
          <w:szCs w:val="32"/>
          <w:lang w:val="en-US"/>
        </w:rPr>
        <w:t>亩，总建筑面积 237568.53 平方米，其中</w:t>
      </w:r>
      <w:r>
        <w:rPr>
          <w:rFonts w:hint="eastAsia" w:ascii="Times New Roman" w:hAnsi="Times New Roman" w:eastAsia="仿宋_GB2312"/>
          <w:kern w:val="2"/>
          <w:sz w:val="32"/>
          <w:szCs w:val="32"/>
          <w:lang w:val="en-US" w:eastAsia="zh-CN"/>
        </w:rPr>
        <w:t>：</w:t>
      </w:r>
      <w:r>
        <w:rPr>
          <w:rFonts w:hint="eastAsia" w:ascii="Times New Roman" w:hAnsi="Times New Roman" w:eastAsia="仿宋_GB2312"/>
          <w:kern w:val="2"/>
          <w:sz w:val="32"/>
          <w:szCs w:val="32"/>
          <w:lang w:val="en-US"/>
        </w:rPr>
        <w:t>厂房建筑面积 49934.92平方米，配套区建筑面积 187633.61平方米</w:t>
      </w:r>
      <w:r>
        <w:rPr>
          <w:rFonts w:hint="eastAsia" w:ascii="Times New Roman" w:hAnsi="Times New Roman" w:eastAsia="仿宋_GB2312"/>
          <w:kern w:val="2"/>
          <w:sz w:val="32"/>
          <w:szCs w:val="32"/>
          <w:lang w:val="en-US" w:eastAsia="zh-CN"/>
        </w:rPr>
        <w:t>。</w:t>
      </w:r>
    </w:p>
    <w:p w14:paraId="5391DF1C">
      <w:pPr>
        <w:pStyle w:val="5"/>
        <w:spacing w:before="0" w:after="0" w:line="560" w:lineRule="exact"/>
        <w:ind w:firstLine="640" w:firstLineChars="200"/>
        <w:rPr>
          <w:rFonts w:hint="eastAsia" w:ascii="Times New Roman" w:hAnsi="Times New Roman" w:eastAsia="仿宋_GB2312"/>
          <w:kern w:val="2"/>
          <w:sz w:val="32"/>
          <w:szCs w:val="32"/>
          <w:lang w:val="en-US"/>
        </w:rPr>
      </w:pPr>
      <w:r>
        <w:rPr>
          <w:rFonts w:hint="eastAsia" w:ascii="Times New Roman" w:hAnsi="Times New Roman" w:eastAsia="仿宋_GB2312"/>
          <w:kern w:val="2"/>
          <w:sz w:val="32"/>
          <w:szCs w:val="32"/>
          <w:lang w:val="en-US"/>
        </w:rPr>
        <w:t>预计产出：项目建成后，年可租售生产厂房49934.9</w:t>
      </w:r>
      <w:r>
        <w:rPr>
          <w:rFonts w:hint="eastAsia" w:ascii="Times New Roman" w:hAnsi="Times New Roman" w:eastAsia="仿宋_GB2312"/>
          <w:kern w:val="2"/>
          <w:sz w:val="32"/>
          <w:szCs w:val="32"/>
          <w:lang w:val="en-US" w:eastAsia="zh-CN"/>
        </w:rPr>
        <w:t>2</w:t>
      </w:r>
      <w:r>
        <w:rPr>
          <w:rFonts w:hint="eastAsia" w:ascii="Times New Roman" w:hAnsi="Times New Roman" w:eastAsia="仿宋_GB2312"/>
          <w:kern w:val="2"/>
          <w:sz w:val="32"/>
          <w:szCs w:val="32"/>
          <w:lang w:val="en-US"/>
        </w:rPr>
        <w:t>平方米，租售宿舍及公寓面积170405.6平方米，租赁附属用房17228.1平方米。</w:t>
      </w:r>
    </w:p>
    <w:p w14:paraId="78699D95">
      <w:pPr>
        <w:pStyle w:val="5"/>
        <w:spacing w:before="0" w:after="0" w:line="560" w:lineRule="exact"/>
        <w:ind w:firstLine="640" w:firstLineChars="200"/>
        <w:rPr>
          <w:rFonts w:hint="default" w:ascii="Times New Roman" w:hAnsi="Times New Roman" w:eastAsia="仿宋" w:cs="Times New Roman"/>
          <w:b/>
          <w:bCs w:val="0"/>
          <w:lang w:eastAsia="zh-CN"/>
        </w:rPr>
      </w:pPr>
      <w:r>
        <w:rPr>
          <w:rFonts w:hint="eastAsia" w:ascii="Times New Roman" w:hAnsi="Times New Roman" w:eastAsia="仿宋_GB2312"/>
          <w:kern w:val="2"/>
          <w:sz w:val="32"/>
          <w:szCs w:val="32"/>
          <w:lang w:val="en-US" w:eastAsia="zh-CN"/>
        </w:rPr>
        <w:t>（4）</w:t>
      </w:r>
      <w:r>
        <w:rPr>
          <w:rFonts w:hint="eastAsia" w:ascii="Times New Roman" w:hAnsi="Times New Roman" w:eastAsia="仿宋_GB2312"/>
          <w:kern w:val="2"/>
          <w:sz w:val="32"/>
          <w:szCs w:val="32"/>
          <w:lang w:val="en-US"/>
        </w:rPr>
        <w:t>项目建设期和运营期</w:t>
      </w:r>
      <w:r>
        <w:rPr>
          <w:rFonts w:hint="eastAsia" w:ascii="Times New Roman" w:hAnsi="Times New Roman" w:eastAsia="仿宋_GB2312"/>
          <w:kern w:val="2"/>
          <w:sz w:val="32"/>
          <w:szCs w:val="32"/>
          <w:lang w:val="en-US" w:eastAsia="zh-CN"/>
        </w:rPr>
        <w:t>：</w:t>
      </w:r>
      <w:r>
        <w:rPr>
          <w:rFonts w:hint="eastAsia" w:ascii="Times New Roman" w:hAnsi="Times New Roman" w:eastAsia="仿宋_GB2312"/>
          <w:kern w:val="2"/>
          <w:sz w:val="32"/>
          <w:szCs w:val="32"/>
          <w:lang w:val="en-US"/>
        </w:rPr>
        <w:t>本项目原</w:t>
      </w:r>
      <w:r>
        <w:rPr>
          <w:rFonts w:hint="default" w:ascii="Times New Roman" w:hAnsi="Times New Roman" w:eastAsia="仿宋_GB2312" w:cs="Times New Roman"/>
          <w:kern w:val="2"/>
          <w:sz w:val="32"/>
          <w:szCs w:val="32"/>
          <w:lang w:val="en-US"/>
        </w:rPr>
        <w:t>定建设期为28个月</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即2021年5月至2023年12月</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，现由于建设资金筹集不到位，导致建设工期延长至2025年12月。</w:t>
      </w:r>
      <w:bookmarkStart w:id="2" w:name="OLE_LINK4"/>
      <w:bookmarkStart w:id="3" w:name="OLE_LINK5"/>
      <w:r>
        <w:rPr>
          <w:rFonts w:hint="default" w:ascii="Times New Roman" w:hAnsi="Times New Roman" w:eastAsia="仿宋_GB2312" w:cs="Times New Roman"/>
          <w:kern w:val="2"/>
          <w:sz w:val="32"/>
          <w:szCs w:val="32"/>
          <w:lang w:val="en-US"/>
        </w:rPr>
        <w:t>项目债券分两期发行，已于 2022年成功发行25,000.00万元，债券期限为10年</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计划 2024 年发行 40,000.00万元，债券期限为</w:t>
      </w:r>
      <w:bookmarkEnd w:id="2"/>
      <w:r>
        <w:rPr>
          <w:rFonts w:hint="default" w:ascii="Times New Roman" w:hAnsi="Times New Roman" w:eastAsia="仿宋_GB2312" w:cs="Times New Roman"/>
          <w:kern w:val="2"/>
          <w:sz w:val="32"/>
          <w:szCs w:val="32"/>
          <w:lang w:val="en-US"/>
        </w:rPr>
        <w:t xml:space="preserve"> 20年，计算期取 2022年至 2044 年。</w:t>
      </w:r>
      <w:bookmarkEnd w:id="3"/>
      <w:bookmarkStart w:id="4" w:name="_Toc69656489"/>
    </w:p>
    <w:p w14:paraId="2FF9895E">
      <w:pPr>
        <w:pStyle w:val="3"/>
        <w:keepNext w:val="0"/>
        <w:keepLines w:val="0"/>
        <w:widowControl w:val="0"/>
        <w:numPr>
          <w:ilvl w:val="1"/>
          <w:numId w:val="0"/>
        </w:numPr>
        <w:spacing w:before="0" w:beforeLines="0" w:after="0" w:afterLines="0"/>
        <w:ind w:leftChars="0" w:firstLine="643" w:firstLineChars="200"/>
        <w:rPr>
          <w:rFonts w:hint="default" w:ascii="Times New Roman" w:hAnsi="Times New Roman" w:eastAsia="仿宋" w:cs="Times New Roman"/>
          <w:b/>
          <w:bCs w:val="0"/>
        </w:rPr>
      </w:pPr>
      <w:r>
        <w:rPr>
          <w:rFonts w:hint="default" w:ascii="Times New Roman" w:hAnsi="Times New Roman" w:eastAsia="仿宋" w:cs="Times New Roman"/>
          <w:b/>
          <w:bCs w:val="0"/>
          <w:lang w:eastAsia="zh-CN"/>
        </w:rPr>
        <w:t>二、</w:t>
      </w:r>
      <w:r>
        <w:rPr>
          <w:rFonts w:hint="default" w:ascii="Times New Roman" w:hAnsi="Times New Roman" w:eastAsia="仿宋" w:cs="Times New Roman"/>
          <w:b/>
          <w:bCs w:val="0"/>
        </w:rPr>
        <w:t>资金筹措方案</w:t>
      </w:r>
      <w:bookmarkEnd w:id="4"/>
    </w:p>
    <w:p w14:paraId="21B4DAAE">
      <w:pPr>
        <w:pStyle w:val="4"/>
        <w:keepNext w:val="0"/>
        <w:keepLines w:val="0"/>
        <w:widowControl w:val="0"/>
        <w:spacing w:before="0" w:beforeLines="0" w:after="0" w:afterLines="0" w:line="600" w:lineRule="exact"/>
        <w:ind w:firstLine="643"/>
        <w:rPr>
          <w:rFonts w:hint="default" w:ascii="Times New Roman" w:hAnsi="Times New Roman" w:eastAsia="仿宋" w:cs="Times New Roman"/>
        </w:rPr>
      </w:pPr>
      <w:bookmarkStart w:id="5" w:name="_Toc515022823"/>
      <w:bookmarkStart w:id="6" w:name="_Toc498385061"/>
      <w:bookmarkStart w:id="7" w:name="_Toc515021919"/>
      <w:bookmarkStart w:id="8" w:name="_Toc515019738"/>
      <w:bookmarkStart w:id="9" w:name="_Toc498385729"/>
      <w:bookmarkStart w:id="10" w:name="_Toc69656490"/>
      <w:bookmarkStart w:id="11" w:name="_Toc25293"/>
      <w:bookmarkStart w:id="12" w:name="_Toc10886_WPSOffice_Level3"/>
      <w:bookmarkStart w:id="13" w:name="_Toc26601"/>
      <w:r>
        <w:rPr>
          <w:rFonts w:hint="default" w:ascii="Times New Roman" w:hAnsi="Times New Roman" w:eastAsia="仿宋" w:cs="Times New Roman"/>
        </w:rPr>
        <w:t>资金</w:t>
      </w:r>
      <w:bookmarkEnd w:id="5"/>
      <w:bookmarkEnd w:id="6"/>
      <w:bookmarkEnd w:id="7"/>
      <w:bookmarkEnd w:id="8"/>
      <w:bookmarkEnd w:id="9"/>
      <w:r>
        <w:rPr>
          <w:rFonts w:hint="default" w:ascii="Times New Roman" w:hAnsi="Times New Roman" w:eastAsia="仿宋" w:cs="Times New Roman"/>
        </w:rPr>
        <w:t>来源</w:t>
      </w:r>
      <w:bookmarkEnd w:id="10"/>
      <w:bookmarkEnd w:id="11"/>
      <w:bookmarkEnd w:id="12"/>
      <w:bookmarkEnd w:id="13"/>
    </w:p>
    <w:tbl>
      <w:tblPr>
        <w:tblStyle w:val="12"/>
        <w:tblW w:w="8932" w:type="dxa"/>
        <w:tblInd w:w="0" w:type="dxa"/>
        <w:tblLayout w:type="fixed"/>
        <w:tblCellMar>
          <w:top w:w="15" w:type="dxa"/>
          <w:left w:w="15" w:type="dxa"/>
          <w:bottom w:w="15" w:type="dxa"/>
          <w:right w:w="15" w:type="dxa"/>
        </w:tblCellMar>
      </w:tblPr>
      <w:tblGrid>
        <w:gridCol w:w="2123"/>
        <w:gridCol w:w="1071"/>
        <w:gridCol w:w="1287"/>
        <w:gridCol w:w="1318"/>
        <w:gridCol w:w="1495"/>
        <w:gridCol w:w="1638"/>
      </w:tblGrid>
      <w:tr w14:paraId="461696EC">
        <w:tblPrEx>
          <w:tblCellMar>
            <w:top w:w="15" w:type="dxa"/>
            <w:left w:w="15" w:type="dxa"/>
            <w:bottom w:w="15" w:type="dxa"/>
            <w:right w:w="15" w:type="dxa"/>
          </w:tblCellMar>
        </w:tblPrEx>
        <w:trPr>
          <w:trHeight w:val="793" w:hRule="atLeast"/>
        </w:trPr>
        <w:tc>
          <w:tcPr>
            <w:tcW w:w="8932" w:type="dxa"/>
            <w:gridSpan w:val="6"/>
            <w:noWrap w:val="0"/>
            <w:vAlign w:val="center"/>
          </w:tcPr>
          <w:p w14:paraId="34F9EDFF">
            <w:pPr>
              <w:widowControl/>
              <w:jc w:val="center"/>
              <w:textAlignment w:val="center"/>
              <w:rPr>
                <w:rFonts w:hint="default" w:ascii="Times New Roman" w:hAnsi="Times New Roman" w:eastAsia="黑体" w:cs="Times New Roman"/>
                <w:color w:val="000000"/>
                <w:sz w:val="32"/>
                <w:szCs w:val="32"/>
              </w:rPr>
            </w:pPr>
            <w:bookmarkStart w:id="14" w:name="_Toc28077"/>
            <w:bookmarkStart w:id="15" w:name="_Toc23363_WPSOffice_Level3"/>
            <w:bookmarkStart w:id="16" w:name="_Toc69656491"/>
            <w:bookmarkStart w:id="17" w:name="_Toc23680"/>
            <w:r>
              <w:rPr>
                <w:rFonts w:hint="default" w:ascii="Times New Roman" w:hAnsi="Times New Roman" w:eastAsia="黑体" w:cs="Times New Roman"/>
                <w:color w:val="000000"/>
                <w:kern w:val="0"/>
                <w:sz w:val="32"/>
                <w:szCs w:val="32"/>
                <w:lang w:bidi="ar"/>
              </w:rPr>
              <w:t>资金筹措（单位：万元）</w:t>
            </w:r>
          </w:p>
        </w:tc>
      </w:tr>
      <w:tr w14:paraId="1CA82F27">
        <w:tblPrEx>
          <w:tblCellMar>
            <w:top w:w="15" w:type="dxa"/>
            <w:left w:w="15" w:type="dxa"/>
            <w:bottom w:w="15" w:type="dxa"/>
            <w:right w:w="15" w:type="dxa"/>
          </w:tblCellMar>
        </w:tblPrEx>
        <w:trPr>
          <w:trHeight w:val="427" w:hRule="atLeast"/>
        </w:trPr>
        <w:tc>
          <w:tcPr>
            <w:tcW w:w="212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6299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项目总投资</w:t>
            </w:r>
          </w:p>
        </w:tc>
        <w:tc>
          <w:tcPr>
            <w:tcW w:w="3676" w:type="dxa"/>
            <w:gridSpan w:val="3"/>
            <w:tcBorders>
              <w:top w:val="single" w:color="000000" w:sz="4" w:space="0"/>
              <w:left w:val="single" w:color="000000" w:sz="4" w:space="0"/>
              <w:bottom w:val="single" w:color="000000" w:sz="4" w:space="0"/>
              <w:right w:val="single" w:color="000000" w:sz="4" w:space="0"/>
            </w:tcBorders>
            <w:noWrap w:val="0"/>
            <w:vAlign w:val="center"/>
          </w:tcPr>
          <w:p w14:paraId="46FE5DA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资本金</w:t>
            </w:r>
          </w:p>
        </w:tc>
        <w:tc>
          <w:tcPr>
            <w:tcW w:w="3133" w:type="dxa"/>
            <w:gridSpan w:val="2"/>
            <w:tcBorders>
              <w:top w:val="single" w:color="000000" w:sz="4" w:space="0"/>
              <w:left w:val="single" w:color="000000" w:sz="4" w:space="0"/>
              <w:bottom w:val="single" w:color="000000" w:sz="4" w:space="0"/>
              <w:right w:val="single" w:color="000000" w:sz="4" w:space="0"/>
            </w:tcBorders>
            <w:noWrap w:val="0"/>
            <w:vAlign w:val="center"/>
          </w:tcPr>
          <w:p w14:paraId="0E71F7F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融资</w:t>
            </w:r>
          </w:p>
        </w:tc>
      </w:tr>
      <w:tr w14:paraId="7DCAB127">
        <w:tblPrEx>
          <w:tblCellMar>
            <w:top w:w="15" w:type="dxa"/>
            <w:left w:w="15" w:type="dxa"/>
            <w:bottom w:w="15" w:type="dxa"/>
            <w:right w:w="15" w:type="dxa"/>
          </w:tblCellMar>
        </w:tblPrEx>
        <w:trPr>
          <w:trHeight w:val="1562" w:hRule="atLeast"/>
        </w:trPr>
        <w:tc>
          <w:tcPr>
            <w:tcW w:w="21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76354">
            <w:pPr>
              <w:jc w:val="center"/>
              <w:rPr>
                <w:rFonts w:hint="default" w:ascii="Times New Roman" w:hAnsi="Times New Roman" w:cs="Times New Roman"/>
                <w:color w:val="000000"/>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58EA5F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财政预算安排</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DE2E72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发行专项债券用于项目资本金</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566B4AC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其他来源（含</w:t>
            </w:r>
            <w:r>
              <w:rPr>
                <w:rFonts w:hint="default" w:ascii="Times New Roman" w:hAnsi="Times New Roman" w:cs="Times New Roman"/>
                <w:color w:val="000000"/>
                <w:kern w:val="0"/>
                <w:sz w:val="22"/>
                <w:szCs w:val="22"/>
                <w:lang w:bidi="ar"/>
              </w:rPr>
              <w:t>单位或社会资本方自有资金等）</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E7906A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专项债券</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76E81D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市场化融资</w:t>
            </w:r>
          </w:p>
        </w:tc>
      </w:tr>
      <w:tr w14:paraId="0BBDDFD2">
        <w:tblPrEx>
          <w:tblCellMar>
            <w:top w:w="15" w:type="dxa"/>
            <w:left w:w="15" w:type="dxa"/>
            <w:bottom w:w="15" w:type="dxa"/>
            <w:right w:w="15" w:type="dxa"/>
          </w:tblCellMar>
        </w:tblPrEx>
        <w:trPr>
          <w:trHeight w:val="457" w:hRule="atLeast"/>
        </w:trPr>
        <w:tc>
          <w:tcPr>
            <w:tcW w:w="2123" w:type="dxa"/>
            <w:tcBorders>
              <w:top w:val="single" w:color="000000" w:sz="4" w:space="0"/>
              <w:left w:val="single" w:color="000000" w:sz="4" w:space="0"/>
              <w:bottom w:val="single" w:color="000000" w:sz="4" w:space="0"/>
              <w:right w:val="single" w:color="000000" w:sz="4" w:space="0"/>
            </w:tcBorders>
            <w:noWrap w:val="0"/>
            <w:vAlign w:val="center"/>
          </w:tcPr>
          <w:p w14:paraId="16D234D9">
            <w:pPr>
              <w:jc w:val="center"/>
              <w:rPr>
                <w:rFonts w:hint="default" w:ascii="Times New Roman" w:hAnsi="Times New Roman" w:eastAsia="宋体" w:cs="Times New Roman"/>
                <w:color w:val="000000"/>
                <w:sz w:val="24"/>
                <w:lang w:val="en-US" w:eastAsia="zh-CN"/>
              </w:rPr>
            </w:pPr>
            <w:bookmarkStart w:id="18" w:name="OLE_LINK2"/>
            <w:r>
              <w:rPr>
                <w:rFonts w:hint="default" w:ascii="Times New Roman" w:hAnsi="Times New Roman" w:cs="Times New Roman"/>
                <w:color w:val="000000"/>
                <w:sz w:val="24"/>
                <w:lang w:val="en-US" w:eastAsia="zh-CN"/>
              </w:rPr>
              <w:t>118921.69</w:t>
            </w:r>
            <w:bookmarkEnd w:id="18"/>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E49F786">
            <w:pPr>
              <w:jc w:val="center"/>
              <w:rPr>
                <w:rFonts w:hint="default" w:ascii="Times New Roman" w:hAnsi="Times New Roman" w:eastAsia="宋体" w:cs="Times New Roman"/>
                <w:color w:val="000000"/>
                <w:sz w:val="24"/>
                <w:lang w:val="en-US" w:eastAsia="zh-CN"/>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9B3A6C0">
            <w:pPr>
              <w:jc w:val="center"/>
              <w:rPr>
                <w:rFonts w:hint="default" w:ascii="Times New Roman" w:hAnsi="Times New Roman" w:eastAsia="宋体" w:cs="Times New Roman"/>
                <w:color w:val="000000"/>
                <w:sz w:val="24"/>
                <w:lang w:val="en-US" w:eastAsia="zh-CN"/>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57738C02">
            <w:pPr>
              <w:jc w:val="center"/>
              <w:rPr>
                <w:rFonts w:hint="default" w:ascii="Times New Roman" w:hAnsi="Times New Roman" w:cs="Times New Roman"/>
                <w:color w:val="000000"/>
                <w:sz w:val="24"/>
                <w:lang w:val="en-US"/>
              </w:rPr>
            </w:pPr>
            <w:bookmarkStart w:id="19" w:name="OLE_LINK1"/>
            <w:r>
              <w:rPr>
                <w:rFonts w:hint="default" w:ascii="Times New Roman" w:hAnsi="Times New Roman" w:cs="Times New Roman"/>
                <w:color w:val="000000"/>
                <w:sz w:val="24"/>
                <w:lang w:val="en-US" w:eastAsia="zh-CN"/>
              </w:rPr>
              <w:t>53921.69</w:t>
            </w:r>
            <w:bookmarkEnd w:id="19"/>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2B312A1">
            <w:pPr>
              <w:jc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65000</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05C7626">
            <w:pPr>
              <w:jc w:val="center"/>
              <w:rPr>
                <w:rFonts w:hint="default" w:ascii="Times New Roman" w:hAnsi="Times New Roman" w:cs="Times New Roman"/>
                <w:color w:val="000000"/>
                <w:sz w:val="24"/>
              </w:rPr>
            </w:pPr>
          </w:p>
        </w:tc>
      </w:tr>
      <w:tr w14:paraId="14EEF966">
        <w:tblPrEx>
          <w:tblCellMar>
            <w:top w:w="15" w:type="dxa"/>
            <w:left w:w="15" w:type="dxa"/>
            <w:bottom w:w="15" w:type="dxa"/>
            <w:right w:w="15" w:type="dxa"/>
          </w:tblCellMar>
        </w:tblPrEx>
        <w:trPr>
          <w:trHeight w:val="643" w:hRule="atLeast"/>
        </w:trPr>
        <w:tc>
          <w:tcPr>
            <w:tcW w:w="2123" w:type="dxa"/>
            <w:tcBorders>
              <w:top w:val="single" w:color="000000" w:sz="4" w:space="0"/>
              <w:left w:val="single" w:color="000000" w:sz="4" w:space="0"/>
              <w:bottom w:val="single" w:color="000000" w:sz="4" w:space="0"/>
              <w:right w:val="single" w:color="000000" w:sz="4" w:space="0"/>
            </w:tcBorders>
            <w:noWrap w:val="0"/>
            <w:vAlign w:val="center"/>
          </w:tcPr>
          <w:p w14:paraId="19B2595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占总投资比例（%）</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2E545967">
            <w:pPr>
              <w:jc w:val="center"/>
              <w:rPr>
                <w:rFonts w:hint="default" w:ascii="Times New Roman" w:hAnsi="Times New Roman" w:eastAsia="宋体" w:cs="Times New Roman"/>
                <w:color w:val="000000"/>
                <w:sz w:val="24"/>
                <w:lang w:eastAsia="zh-CN"/>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71F70D0">
            <w:pPr>
              <w:jc w:val="center"/>
              <w:rPr>
                <w:rFonts w:hint="default" w:ascii="Times New Roman" w:hAnsi="Times New Roman" w:cs="Times New Roman"/>
                <w:color w:val="000000"/>
                <w:sz w:val="24"/>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532456C8">
            <w:pPr>
              <w:jc w:val="center"/>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45.34</w:t>
            </w:r>
            <w:r>
              <w:rPr>
                <w:rFonts w:hint="default" w:ascii="Times New Roman" w:hAnsi="Times New Roman" w:cs="Times New Roman"/>
                <w:color w:val="000000"/>
                <w:sz w:val="24"/>
              </w:rPr>
              <w:t>%</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2E40BCB">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54.66%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2582DF8">
            <w:pPr>
              <w:widowControl/>
              <w:jc w:val="center"/>
              <w:textAlignment w:val="center"/>
              <w:rPr>
                <w:rFonts w:hint="default" w:ascii="Times New Roman" w:hAnsi="Times New Roman" w:eastAsia="宋体" w:cs="Times New Roman"/>
                <w:color w:val="000000"/>
                <w:sz w:val="24"/>
                <w:lang w:eastAsia="zh-CN"/>
              </w:rPr>
            </w:pPr>
          </w:p>
        </w:tc>
      </w:tr>
    </w:tbl>
    <w:p w14:paraId="4CCF82B7">
      <w:pPr>
        <w:pStyle w:val="5"/>
        <w:spacing w:before="0" w:after="0" w:line="560" w:lineRule="exact"/>
        <w:ind w:firstLine="640" w:firstLineChars="200"/>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kern w:val="2"/>
          <w:sz w:val="32"/>
          <w:szCs w:val="32"/>
          <w:lang w:val="en-US"/>
        </w:rPr>
        <w:t>本项目总投资118,921.69万元。资金主要来源于资本金与融资两部分，其中</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本项目资本金比例为45</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34%</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 xml:space="preserve">共计 53,921.69万元，融资资金占总投资比例为 </w:t>
      </w:r>
      <w:bookmarkStart w:id="20" w:name="OLE_LINK3"/>
      <w:r>
        <w:rPr>
          <w:rFonts w:hint="default" w:ascii="Times New Roman" w:hAnsi="Times New Roman" w:eastAsia="仿宋_GB2312" w:cs="Times New Roman"/>
          <w:kern w:val="2"/>
          <w:sz w:val="32"/>
          <w:szCs w:val="32"/>
          <w:lang w:val="en-US"/>
        </w:rPr>
        <w:t>54.66</w:t>
      </w:r>
      <w:bookmarkEnd w:id="20"/>
      <w:r>
        <w:rPr>
          <w:rFonts w:hint="default" w:ascii="Times New Roman" w:hAnsi="Times New Roman" w:eastAsia="仿宋_GB2312" w:cs="Times New Roman"/>
          <w:kern w:val="2"/>
          <w:sz w:val="32"/>
          <w:szCs w:val="32"/>
          <w:lang w:val="en-US"/>
        </w:rPr>
        <w:t>%，通过发行专项债券筹集65,000.00 万元。</w:t>
      </w:r>
    </w:p>
    <w:p w14:paraId="28711160">
      <w:pPr>
        <w:pStyle w:val="5"/>
        <w:spacing w:before="0" w:after="0" w:line="560" w:lineRule="exact"/>
        <w:ind w:firstLine="640" w:firstLineChars="200"/>
        <w:rPr>
          <w:rFonts w:hint="default" w:ascii="Times New Roman" w:hAnsi="Times New Roman" w:eastAsia="仿宋_GB2312" w:cs="Times New Roman"/>
          <w:kern w:val="2"/>
          <w:sz w:val="32"/>
          <w:szCs w:val="32"/>
          <w:lang w:val="en-US"/>
        </w:rPr>
      </w:pPr>
      <w:bookmarkStart w:id="21" w:name="OLE_LINK6"/>
      <w:r>
        <w:rPr>
          <w:rFonts w:hint="default" w:ascii="Times New Roman" w:hAnsi="Times New Roman" w:eastAsia="仿宋_GB2312" w:cs="Times New Roman"/>
          <w:kern w:val="2"/>
          <w:sz w:val="32"/>
          <w:szCs w:val="32"/>
          <w:lang w:val="en-US"/>
        </w:rPr>
        <w:t>项目债券分两期发行，已于2022年成功发行25,000.00万元，债券期限为10年</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计划 2024 年发行 40,000.00万元，债券期限为20年，计算期取 2022年至 2044 年。</w:t>
      </w:r>
      <w:bookmarkEnd w:id="21"/>
      <w:r>
        <w:rPr>
          <w:rFonts w:hint="default" w:ascii="Times New Roman" w:hAnsi="Times New Roman" w:eastAsia="仿宋_GB2312" w:cs="Times New Roman"/>
          <w:kern w:val="2"/>
          <w:sz w:val="32"/>
          <w:szCs w:val="32"/>
          <w:lang w:val="en-US"/>
        </w:rPr>
        <w:t>占项目总投资的54.66</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w:t>
      </w:r>
    </w:p>
    <w:p w14:paraId="55C3C55D">
      <w:pPr>
        <w:ind w:firstLine="643"/>
        <w:rPr>
          <w:rFonts w:hint="default" w:ascii="Times New Roman" w:hAnsi="Times New Roman" w:eastAsia="仿宋" w:cs="Times New Roman"/>
          <w:b/>
          <w:kern w:val="0"/>
          <w:sz w:val="32"/>
          <w:szCs w:val="20"/>
          <w:lang w:val="en-GB" w:eastAsia="zh-CN" w:bidi="ar-SA"/>
        </w:rPr>
      </w:pPr>
      <w:r>
        <w:rPr>
          <w:rFonts w:hint="default" w:ascii="Times New Roman" w:hAnsi="Times New Roman" w:eastAsia="仿宋" w:cs="Times New Roman"/>
          <w:b/>
          <w:kern w:val="0"/>
          <w:sz w:val="32"/>
          <w:szCs w:val="20"/>
          <w:lang w:val="en-GB" w:eastAsia="zh-CN" w:bidi="ar-SA"/>
        </w:rPr>
        <w:t>2.项目分年</w:t>
      </w:r>
      <w:bookmarkEnd w:id="14"/>
      <w:r>
        <w:rPr>
          <w:rFonts w:hint="default" w:ascii="Times New Roman" w:hAnsi="Times New Roman" w:eastAsia="仿宋" w:cs="Times New Roman"/>
          <w:b/>
          <w:kern w:val="0"/>
          <w:sz w:val="32"/>
          <w:szCs w:val="20"/>
          <w:lang w:val="en-GB" w:eastAsia="zh-CN" w:bidi="ar-SA"/>
        </w:rPr>
        <w:t>度融资情况</w:t>
      </w:r>
      <w:bookmarkEnd w:id="15"/>
      <w:bookmarkEnd w:id="16"/>
    </w:p>
    <w:bookmarkEnd w:id="17"/>
    <w:p w14:paraId="2F8E583A">
      <w:pPr>
        <w:spacing w:before="102" w:line="222" w:lineRule="auto"/>
        <w:ind w:left="779"/>
        <w:rPr>
          <w:rFonts w:hint="default" w:ascii="Times New Roman" w:hAnsi="Times New Roman" w:eastAsia="仿宋" w:cs="Times New Roman"/>
          <w:spacing w:val="4"/>
          <w:sz w:val="31"/>
          <w:szCs w:val="31"/>
        </w:rPr>
      </w:pPr>
      <w:bookmarkStart w:id="22" w:name="_Toc515022824"/>
      <w:bookmarkStart w:id="23" w:name="_Toc15458"/>
      <w:bookmarkStart w:id="24" w:name="_Toc4185"/>
      <w:bookmarkStart w:id="25" w:name="_Toc8863_WPSOffice_Level3"/>
      <w:bookmarkStart w:id="26" w:name="_Toc515021920"/>
      <w:bookmarkStart w:id="27" w:name="_Toc515019739"/>
      <w:bookmarkStart w:id="28" w:name="_Toc69656492"/>
      <w:r>
        <w:rPr>
          <w:rFonts w:hint="default" w:ascii="Times New Roman" w:hAnsi="Times New Roman" w:eastAsia="仿宋" w:cs="Times New Roman"/>
          <w:spacing w:val="4"/>
          <w:sz w:val="31"/>
          <w:szCs w:val="31"/>
        </w:rPr>
        <w:t>（1）专项债券</w:t>
      </w:r>
    </w:p>
    <w:tbl>
      <w:tblPr>
        <w:tblStyle w:val="12"/>
        <w:tblW w:w="4998" w:type="pct"/>
        <w:tblInd w:w="0" w:type="dxa"/>
        <w:tblLayout w:type="autofit"/>
        <w:tblCellMar>
          <w:top w:w="15" w:type="dxa"/>
          <w:left w:w="15" w:type="dxa"/>
          <w:bottom w:w="15" w:type="dxa"/>
          <w:right w:w="15" w:type="dxa"/>
        </w:tblCellMar>
      </w:tblPr>
      <w:tblGrid>
        <w:gridCol w:w="2002"/>
        <w:gridCol w:w="1644"/>
        <w:gridCol w:w="1791"/>
        <w:gridCol w:w="1716"/>
        <w:gridCol w:w="1718"/>
      </w:tblGrid>
      <w:tr w14:paraId="099575F8">
        <w:tblPrEx>
          <w:tblCellMar>
            <w:top w:w="15" w:type="dxa"/>
            <w:left w:w="15" w:type="dxa"/>
            <w:bottom w:w="15" w:type="dxa"/>
            <w:right w:w="15" w:type="dxa"/>
          </w:tblCellMar>
        </w:tblPrEx>
        <w:trPr>
          <w:trHeight w:val="840" w:hRule="atLeast"/>
        </w:trPr>
        <w:tc>
          <w:tcPr>
            <w:tcW w:w="1128" w:type="pct"/>
            <w:vMerge w:val="restart"/>
            <w:tcBorders>
              <w:top w:val="single" w:color="000000" w:sz="4" w:space="0"/>
              <w:left w:val="single" w:color="000000" w:sz="4" w:space="0"/>
              <w:right w:val="single" w:color="000000" w:sz="4" w:space="0"/>
            </w:tcBorders>
            <w:noWrap w:val="0"/>
            <w:vAlign w:val="center"/>
          </w:tcPr>
          <w:p w14:paraId="29CD620D">
            <w:pPr>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合计</w:t>
            </w:r>
          </w:p>
        </w:tc>
        <w:tc>
          <w:tcPr>
            <w:tcW w:w="1935" w:type="pct"/>
            <w:gridSpan w:val="2"/>
            <w:tcBorders>
              <w:top w:val="single" w:color="000000" w:sz="4" w:space="0"/>
              <w:left w:val="single" w:color="000000" w:sz="4" w:space="0"/>
              <w:bottom w:val="single" w:color="000000" w:sz="4" w:space="0"/>
              <w:right w:val="single" w:color="000000" w:sz="4" w:space="0"/>
            </w:tcBorders>
            <w:noWrap w:val="0"/>
            <w:vAlign w:val="center"/>
          </w:tcPr>
          <w:p w14:paraId="73B7B1E7">
            <w:pPr>
              <w:widowControl/>
              <w:jc w:val="center"/>
              <w:textAlignment w:val="center"/>
              <w:rPr>
                <w:rFonts w:hint="default" w:ascii="Times New Roman" w:hAnsi="Times New Roman" w:cs="Times New Roman"/>
                <w:bCs/>
                <w:color w:val="000000"/>
                <w:kern w:val="0"/>
                <w:sz w:val="24"/>
                <w:lang w:bidi="ar"/>
              </w:rPr>
            </w:pPr>
            <w:r>
              <w:rPr>
                <w:rFonts w:hint="default" w:ascii="Times New Roman" w:hAnsi="Times New Roman" w:cs="Times New Roman"/>
                <w:bCs/>
                <w:color w:val="000000"/>
                <w:kern w:val="0"/>
                <w:sz w:val="24"/>
                <w:lang w:bidi="ar"/>
              </w:rPr>
              <w:t>202</w:t>
            </w:r>
            <w:r>
              <w:rPr>
                <w:rFonts w:hint="default" w:ascii="Times New Roman" w:hAnsi="Times New Roman" w:cs="Times New Roman"/>
                <w:bCs/>
                <w:color w:val="000000"/>
                <w:kern w:val="0"/>
                <w:sz w:val="24"/>
                <w:lang w:val="en-US" w:eastAsia="zh-CN" w:bidi="ar"/>
              </w:rPr>
              <w:t>2</w:t>
            </w:r>
            <w:r>
              <w:rPr>
                <w:rFonts w:hint="default" w:ascii="Times New Roman" w:hAnsi="Times New Roman" w:cs="Times New Roman"/>
                <w:bCs/>
                <w:color w:val="000000"/>
                <w:kern w:val="0"/>
                <w:sz w:val="24"/>
                <w:lang w:bidi="ar"/>
              </w:rPr>
              <w:t>年</w:t>
            </w:r>
          </w:p>
        </w:tc>
        <w:tc>
          <w:tcPr>
            <w:tcW w:w="1935" w:type="pct"/>
            <w:gridSpan w:val="2"/>
            <w:tcBorders>
              <w:top w:val="single" w:color="000000" w:sz="4" w:space="0"/>
              <w:left w:val="single" w:color="000000" w:sz="4" w:space="0"/>
              <w:bottom w:val="single" w:color="000000" w:sz="4" w:space="0"/>
              <w:right w:val="single" w:color="000000" w:sz="4" w:space="0"/>
            </w:tcBorders>
            <w:noWrap w:val="0"/>
            <w:vAlign w:val="center"/>
          </w:tcPr>
          <w:p w14:paraId="0BE7B4BF">
            <w:pPr>
              <w:widowControl/>
              <w:jc w:val="center"/>
              <w:textAlignment w:val="center"/>
              <w:rPr>
                <w:rFonts w:hint="default" w:ascii="Times New Roman" w:hAnsi="Times New Roman" w:eastAsia="宋体" w:cs="Times New Roman"/>
                <w:bCs/>
                <w:color w:val="000000"/>
                <w:kern w:val="0"/>
                <w:sz w:val="24"/>
                <w:lang w:val="en-US" w:eastAsia="zh-CN" w:bidi="ar"/>
              </w:rPr>
            </w:pPr>
            <w:r>
              <w:rPr>
                <w:rFonts w:hint="default" w:ascii="Times New Roman" w:hAnsi="Times New Roman" w:cs="Times New Roman"/>
                <w:bCs/>
                <w:color w:val="000000"/>
                <w:kern w:val="0"/>
                <w:sz w:val="24"/>
                <w:lang w:val="en-US" w:eastAsia="zh-CN" w:bidi="ar"/>
              </w:rPr>
              <w:t>2024年</w:t>
            </w:r>
          </w:p>
        </w:tc>
      </w:tr>
      <w:tr w14:paraId="2D6A2680">
        <w:tblPrEx>
          <w:tblCellMar>
            <w:top w:w="15" w:type="dxa"/>
            <w:left w:w="15" w:type="dxa"/>
            <w:bottom w:w="15" w:type="dxa"/>
            <w:right w:w="15" w:type="dxa"/>
          </w:tblCellMar>
        </w:tblPrEx>
        <w:trPr>
          <w:trHeight w:val="840" w:hRule="atLeast"/>
        </w:trPr>
        <w:tc>
          <w:tcPr>
            <w:tcW w:w="1128" w:type="pct"/>
            <w:vMerge w:val="continue"/>
            <w:tcBorders>
              <w:left w:val="single" w:color="000000" w:sz="4" w:space="0"/>
              <w:bottom w:val="single" w:color="000000" w:sz="4" w:space="0"/>
              <w:right w:val="single" w:color="000000" w:sz="4" w:space="0"/>
            </w:tcBorders>
            <w:noWrap w:val="0"/>
            <w:vAlign w:val="center"/>
          </w:tcPr>
          <w:p w14:paraId="7354128C">
            <w:pPr>
              <w:jc w:val="center"/>
              <w:rPr>
                <w:rFonts w:hint="default" w:ascii="Times New Roman" w:hAnsi="Times New Roman" w:cs="Times New Roman"/>
                <w:bCs/>
                <w:color w:val="000000"/>
                <w:sz w:val="24"/>
              </w:rPr>
            </w:pPr>
            <w:bookmarkStart w:id="29" w:name="OLE_LINK7" w:colFirst="1" w:colLast="2"/>
          </w:p>
        </w:tc>
        <w:tc>
          <w:tcPr>
            <w:tcW w:w="926" w:type="pct"/>
            <w:tcBorders>
              <w:top w:val="single" w:color="000000" w:sz="4" w:space="0"/>
              <w:left w:val="single" w:color="000000" w:sz="4" w:space="0"/>
              <w:bottom w:val="single" w:color="000000" w:sz="4" w:space="0"/>
              <w:right w:val="single" w:color="000000" w:sz="4" w:space="0"/>
            </w:tcBorders>
            <w:noWrap w:val="0"/>
            <w:vAlign w:val="center"/>
          </w:tcPr>
          <w:p w14:paraId="0BD78E98">
            <w:pPr>
              <w:widowControl/>
              <w:jc w:val="center"/>
              <w:textAlignment w:val="center"/>
              <w:rPr>
                <w:rFonts w:hint="default" w:ascii="Times New Roman" w:hAnsi="Times New Roman" w:cs="Times New Roman"/>
                <w:bCs/>
                <w:color w:val="000000"/>
                <w:kern w:val="0"/>
                <w:sz w:val="24"/>
                <w:lang w:bidi="ar"/>
              </w:rPr>
            </w:pPr>
            <w:r>
              <w:rPr>
                <w:rFonts w:hint="default" w:ascii="Times New Roman" w:hAnsi="Times New Roman" w:cs="Times New Roman"/>
                <w:bCs/>
                <w:color w:val="000000"/>
                <w:kern w:val="0"/>
                <w:sz w:val="24"/>
                <w:lang w:bidi="ar"/>
              </w:rPr>
              <w:t>发行金额</w:t>
            </w:r>
          </w:p>
        </w:tc>
        <w:tc>
          <w:tcPr>
            <w:tcW w:w="1009" w:type="pct"/>
            <w:tcBorders>
              <w:top w:val="single" w:color="000000" w:sz="4" w:space="0"/>
              <w:left w:val="single" w:color="000000" w:sz="4" w:space="0"/>
              <w:bottom w:val="single" w:color="000000" w:sz="4" w:space="0"/>
              <w:right w:val="single" w:color="000000" w:sz="4" w:space="0"/>
            </w:tcBorders>
            <w:noWrap w:val="0"/>
            <w:vAlign w:val="center"/>
          </w:tcPr>
          <w:p w14:paraId="26254301">
            <w:pPr>
              <w:widowControl/>
              <w:jc w:val="center"/>
              <w:textAlignment w:val="center"/>
              <w:rPr>
                <w:rFonts w:hint="default" w:ascii="Times New Roman" w:hAnsi="Times New Roman" w:cs="Times New Roman"/>
                <w:bCs/>
                <w:color w:val="000000"/>
                <w:kern w:val="0"/>
                <w:sz w:val="24"/>
                <w:lang w:bidi="ar"/>
              </w:rPr>
            </w:pPr>
            <w:r>
              <w:rPr>
                <w:rFonts w:hint="default" w:ascii="Times New Roman" w:hAnsi="Times New Roman" w:cs="Times New Roman"/>
                <w:bCs/>
                <w:color w:val="000000"/>
                <w:kern w:val="0"/>
                <w:sz w:val="24"/>
                <w:lang w:bidi="ar"/>
              </w:rPr>
              <w:t>期限</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FBAD1">
            <w:pPr>
              <w:widowControl/>
              <w:jc w:val="center"/>
              <w:textAlignment w:val="center"/>
              <w:rPr>
                <w:rFonts w:hint="default" w:ascii="Times New Roman" w:hAnsi="Times New Roman" w:eastAsia="宋体" w:cs="Times New Roman"/>
                <w:bCs/>
                <w:color w:val="000000"/>
                <w:kern w:val="0"/>
                <w:sz w:val="24"/>
                <w:szCs w:val="20"/>
                <w:lang w:val="en-US" w:eastAsia="zh-CN" w:bidi="ar"/>
              </w:rPr>
            </w:pPr>
            <w:r>
              <w:rPr>
                <w:rFonts w:hint="default" w:ascii="Times New Roman" w:hAnsi="Times New Roman" w:cs="Times New Roman"/>
                <w:bCs/>
                <w:color w:val="000000"/>
                <w:kern w:val="0"/>
                <w:sz w:val="24"/>
                <w:lang w:bidi="ar"/>
              </w:rPr>
              <w:t>发行金额</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6522D">
            <w:pPr>
              <w:widowControl/>
              <w:jc w:val="center"/>
              <w:textAlignment w:val="center"/>
              <w:rPr>
                <w:rFonts w:hint="default" w:ascii="Times New Roman" w:hAnsi="Times New Roman" w:eastAsia="宋体" w:cs="Times New Roman"/>
                <w:bCs/>
                <w:color w:val="000000"/>
                <w:kern w:val="0"/>
                <w:sz w:val="24"/>
                <w:szCs w:val="20"/>
                <w:lang w:val="en-US" w:eastAsia="zh-CN" w:bidi="ar"/>
              </w:rPr>
            </w:pPr>
            <w:r>
              <w:rPr>
                <w:rFonts w:hint="default" w:ascii="Times New Roman" w:hAnsi="Times New Roman" w:cs="Times New Roman"/>
                <w:bCs/>
                <w:color w:val="000000"/>
                <w:kern w:val="0"/>
                <w:sz w:val="24"/>
                <w:lang w:bidi="ar"/>
              </w:rPr>
              <w:t>期限</w:t>
            </w:r>
          </w:p>
        </w:tc>
      </w:tr>
      <w:bookmarkEnd w:id="29"/>
      <w:tr w14:paraId="0507A3E5">
        <w:tblPrEx>
          <w:tblCellMar>
            <w:top w:w="15" w:type="dxa"/>
            <w:left w:w="15" w:type="dxa"/>
            <w:bottom w:w="15" w:type="dxa"/>
            <w:right w:w="15" w:type="dxa"/>
          </w:tblCellMar>
        </w:tblPrEx>
        <w:trPr>
          <w:trHeight w:val="980" w:hRule="atLeast"/>
        </w:trPr>
        <w:tc>
          <w:tcPr>
            <w:tcW w:w="1128" w:type="pct"/>
            <w:tcBorders>
              <w:top w:val="single" w:color="000000" w:sz="4" w:space="0"/>
              <w:left w:val="single" w:color="000000" w:sz="4" w:space="0"/>
              <w:bottom w:val="single" w:color="000000" w:sz="4" w:space="0"/>
              <w:right w:val="single" w:color="000000" w:sz="4" w:space="0"/>
            </w:tcBorders>
            <w:noWrap w:val="0"/>
            <w:vAlign w:val="center"/>
          </w:tcPr>
          <w:p w14:paraId="56C23F7B">
            <w:pPr>
              <w:widowControl/>
              <w:jc w:val="center"/>
              <w:textAlignment w:val="center"/>
              <w:rPr>
                <w:rFonts w:hint="default" w:ascii="Times New Roman" w:hAnsi="Times New Roman" w:eastAsia="宋体" w:cs="Times New Roman"/>
                <w:bCs/>
                <w:color w:val="000000"/>
                <w:sz w:val="22"/>
                <w:szCs w:val="22"/>
                <w:lang w:val="en-US" w:eastAsia="zh-CN"/>
              </w:rPr>
            </w:pPr>
            <w:r>
              <w:rPr>
                <w:rFonts w:hint="default" w:ascii="Times New Roman" w:hAnsi="Times New Roman" w:cs="Times New Roman"/>
                <w:bCs/>
                <w:color w:val="000000"/>
                <w:sz w:val="24"/>
                <w:szCs w:val="24"/>
                <w:lang w:val="en-US" w:eastAsia="zh-CN"/>
              </w:rPr>
              <w:t>65000.00</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14:paraId="62BBD464">
            <w:pPr>
              <w:widowControl/>
              <w:jc w:val="center"/>
              <w:textAlignment w:val="center"/>
              <w:rPr>
                <w:rFonts w:hint="default" w:ascii="Times New Roman" w:hAnsi="Times New Roman" w:cs="Times New Roman"/>
                <w:bCs/>
                <w:color w:val="000000"/>
                <w:kern w:val="0"/>
                <w:sz w:val="22"/>
                <w:szCs w:val="22"/>
                <w:lang w:bidi="ar"/>
              </w:rPr>
            </w:pPr>
            <w:r>
              <w:rPr>
                <w:rFonts w:hint="default" w:ascii="Times New Roman" w:hAnsi="Times New Roman" w:cs="Times New Roman"/>
                <w:bCs/>
                <w:color w:val="000000"/>
                <w:kern w:val="0"/>
                <w:sz w:val="24"/>
                <w:szCs w:val="24"/>
                <w:lang w:val="en-US" w:eastAsia="zh-CN" w:bidi="ar"/>
              </w:rPr>
              <w:t>25000</w:t>
            </w:r>
            <w:r>
              <w:rPr>
                <w:rFonts w:hint="default" w:ascii="Times New Roman" w:hAnsi="Times New Roman" w:cs="Times New Roman"/>
                <w:bCs/>
                <w:color w:val="000000"/>
                <w:kern w:val="0"/>
                <w:sz w:val="24"/>
                <w:szCs w:val="24"/>
                <w:lang w:bidi="ar"/>
              </w:rPr>
              <w:t>.00</w:t>
            </w:r>
          </w:p>
        </w:tc>
        <w:tc>
          <w:tcPr>
            <w:tcW w:w="1009" w:type="pct"/>
            <w:tcBorders>
              <w:top w:val="single" w:color="000000" w:sz="4" w:space="0"/>
              <w:left w:val="single" w:color="000000" w:sz="4" w:space="0"/>
              <w:bottom w:val="single" w:color="000000" w:sz="4" w:space="0"/>
              <w:right w:val="single" w:color="000000" w:sz="4" w:space="0"/>
            </w:tcBorders>
            <w:noWrap w:val="0"/>
            <w:vAlign w:val="center"/>
          </w:tcPr>
          <w:p w14:paraId="0F09EF6F">
            <w:pPr>
              <w:widowControl/>
              <w:jc w:val="center"/>
              <w:textAlignment w:val="center"/>
              <w:rPr>
                <w:rFonts w:hint="default" w:ascii="Times New Roman" w:hAnsi="Times New Roman" w:cs="Times New Roman"/>
                <w:bCs/>
                <w:color w:val="000000"/>
                <w:kern w:val="0"/>
                <w:sz w:val="22"/>
                <w:szCs w:val="22"/>
                <w:lang w:bidi="ar"/>
              </w:rPr>
            </w:pPr>
            <w:r>
              <w:rPr>
                <w:rFonts w:hint="default" w:ascii="Times New Roman" w:hAnsi="Times New Roman" w:cs="Times New Roman"/>
                <w:bCs/>
                <w:color w:val="000000"/>
                <w:kern w:val="0"/>
                <w:sz w:val="24"/>
                <w:szCs w:val="24"/>
                <w:lang w:bidi="ar"/>
              </w:rPr>
              <w:t>10年</w:t>
            </w:r>
          </w:p>
        </w:tc>
        <w:tc>
          <w:tcPr>
            <w:tcW w:w="967" w:type="pct"/>
            <w:tcBorders>
              <w:top w:val="single" w:color="000000" w:sz="4" w:space="0"/>
              <w:left w:val="single" w:color="000000" w:sz="4" w:space="0"/>
              <w:bottom w:val="single" w:color="000000" w:sz="4" w:space="0"/>
              <w:right w:val="single" w:color="000000" w:sz="4" w:space="0"/>
            </w:tcBorders>
            <w:noWrap w:val="0"/>
            <w:vAlign w:val="center"/>
          </w:tcPr>
          <w:p w14:paraId="761812E1">
            <w:pPr>
              <w:widowControl/>
              <w:jc w:val="center"/>
              <w:textAlignment w:val="center"/>
              <w:rPr>
                <w:rFonts w:hint="default" w:ascii="Times New Roman" w:hAnsi="Times New Roman" w:eastAsia="宋体" w:cs="Times New Roman"/>
                <w:bCs/>
                <w:color w:val="000000"/>
                <w:kern w:val="0"/>
                <w:sz w:val="24"/>
                <w:szCs w:val="24"/>
                <w:lang w:val="en-US" w:eastAsia="zh-CN" w:bidi="ar"/>
              </w:rPr>
            </w:pPr>
            <w:r>
              <w:rPr>
                <w:rFonts w:hint="default" w:ascii="Times New Roman" w:hAnsi="Times New Roman" w:cs="Times New Roman"/>
                <w:bCs/>
                <w:color w:val="000000"/>
                <w:kern w:val="0"/>
                <w:sz w:val="24"/>
                <w:szCs w:val="24"/>
                <w:lang w:val="en-US" w:eastAsia="zh-CN" w:bidi="ar"/>
              </w:rPr>
              <w:t>40000.00</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35B2DF05">
            <w:pPr>
              <w:widowControl/>
              <w:jc w:val="center"/>
              <w:textAlignment w:val="center"/>
              <w:rPr>
                <w:rFonts w:hint="default" w:ascii="Times New Roman" w:hAnsi="Times New Roman" w:eastAsia="宋体" w:cs="Times New Roman"/>
                <w:bCs/>
                <w:color w:val="000000"/>
                <w:kern w:val="0"/>
                <w:sz w:val="24"/>
                <w:szCs w:val="24"/>
                <w:lang w:val="en-US" w:eastAsia="zh-CN" w:bidi="ar"/>
              </w:rPr>
            </w:pPr>
            <w:r>
              <w:rPr>
                <w:rFonts w:hint="default" w:ascii="Times New Roman" w:hAnsi="Times New Roman" w:cs="Times New Roman"/>
                <w:bCs/>
                <w:color w:val="000000"/>
                <w:kern w:val="0"/>
                <w:sz w:val="24"/>
                <w:szCs w:val="24"/>
                <w:lang w:val="en-US" w:eastAsia="zh-CN" w:bidi="ar"/>
              </w:rPr>
              <w:t>20年</w:t>
            </w:r>
          </w:p>
        </w:tc>
      </w:tr>
    </w:tbl>
    <w:p w14:paraId="2EC60B5F">
      <w:pPr>
        <w:spacing w:before="173" w:line="224" w:lineRule="auto"/>
        <w:ind w:firstLine="640" w:firstLineChars="200"/>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kern w:val="2"/>
          <w:sz w:val="32"/>
          <w:szCs w:val="32"/>
          <w:lang w:val="en-US"/>
        </w:rPr>
        <w:t>项目债券分两期发行，已于2022年成功发行25,000.00万元，债券期限为10年</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计划 2024 年发行40,000.00万元，债券期限为20年。</w:t>
      </w:r>
    </w:p>
    <w:p w14:paraId="3C571F32">
      <w:pPr>
        <w:spacing w:before="173" w:line="224" w:lineRule="auto"/>
        <w:ind w:firstLine="644" w:firstLineChars="200"/>
        <w:rPr>
          <w:rFonts w:hint="default" w:ascii="Times New Roman" w:hAnsi="Times New Roman" w:eastAsia="仿宋" w:cs="Times New Roman"/>
          <w:spacing w:val="6"/>
          <w:sz w:val="31"/>
          <w:szCs w:val="31"/>
        </w:rPr>
      </w:pPr>
      <w:r>
        <w:rPr>
          <w:rFonts w:hint="default" w:ascii="Times New Roman" w:hAnsi="Times New Roman" w:eastAsia="仿宋" w:cs="Times New Roman"/>
          <w:spacing w:val="6"/>
          <w:sz w:val="31"/>
          <w:szCs w:val="31"/>
        </w:rPr>
        <w:t>（2）市场化融资</w:t>
      </w:r>
    </w:p>
    <w:p w14:paraId="2EACDD8F">
      <w:pPr>
        <w:spacing w:before="173" w:line="224" w:lineRule="auto"/>
        <w:ind w:firstLine="644" w:firstLineChars="200"/>
        <w:rPr>
          <w:rFonts w:hint="default" w:ascii="Times New Roman" w:hAnsi="Times New Roman" w:eastAsia="仿宋" w:cs="Times New Roman"/>
          <w:spacing w:val="6"/>
          <w:sz w:val="31"/>
          <w:szCs w:val="31"/>
        </w:rPr>
      </w:pPr>
      <w:r>
        <w:rPr>
          <w:rFonts w:hint="default" w:ascii="Times New Roman" w:hAnsi="Times New Roman" w:eastAsia="仿宋" w:cs="Times New Roman"/>
          <w:spacing w:val="6"/>
          <w:sz w:val="31"/>
          <w:szCs w:val="31"/>
        </w:rPr>
        <w:t>项目暂无市场化融资计划。</w:t>
      </w:r>
    </w:p>
    <w:p w14:paraId="0780A667">
      <w:pPr>
        <w:pStyle w:val="5"/>
        <w:spacing w:before="0" w:after="0" w:line="600" w:lineRule="exact"/>
        <w:ind w:firstLine="643"/>
        <w:rPr>
          <w:rFonts w:hint="default" w:ascii="Times New Roman" w:hAnsi="Times New Roman" w:eastAsia="仿宋" w:cs="Times New Roman"/>
          <w:b/>
          <w:bCs/>
          <w:kern w:val="2"/>
          <w:sz w:val="32"/>
          <w:szCs w:val="32"/>
          <w:lang w:val="en-US"/>
        </w:rPr>
      </w:pPr>
      <w:r>
        <w:rPr>
          <w:rFonts w:hint="default" w:ascii="Times New Roman" w:hAnsi="Times New Roman" w:eastAsia="仿宋" w:cs="Times New Roman"/>
          <w:b/>
          <w:bCs/>
          <w:kern w:val="2"/>
          <w:sz w:val="32"/>
          <w:szCs w:val="32"/>
          <w:lang w:val="en-US"/>
        </w:rPr>
        <w:t>3.项目实施计划</w:t>
      </w:r>
      <w:bookmarkEnd w:id="22"/>
      <w:bookmarkEnd w:id="23"/>
      <w:bookmarkEnd w:id="24"/>
      <w:bookmarkEnd w:id="25"/>
      <w:bookmarkEnd w:id="26"/>
      <w:bookmarkEnd w:id="27"/>
      <w:bookmarkEnd w:id="28"/>
    </w:p>
    <w:p w14:paraId="13D090AD">
      <w:pPr>
        <w:spacing w:before="101" w:line="221" w:lineRule="auto"/>
        <w:ind w:left="779"/>
        <w:rPr>
          <w:rFonts w:hint="default" w:ascii="Times New Roman" w:hAnsi="Times New Roman" w:eastAsia="仿宋" w:cs="Times New Roman"/>
          <w:sz w:val="31"/>
          <w:szCs w:val="31"/>
        </w:rPr>
      </w:pPr>
      <w:r>
        <w:rPr>
          <w:rFonts w:hint="default" w:ascii="Times New Roman" w:hAnsi="Times New Roman" w:eastAsia="仿宋" w:cs="Times New Roman"/>
          <w:spacing w:val="-4"/>
          <w:sz w:val="31"/>
          <w:szCs w:val="31"/>
        </w:rPr>
        <w:t>（1）</w:t>
      </w:r>
      <w:r>
        <w:rPr>
          <w:rFonts w:hint="default" w:ascii="Times New Roman" w:hAnsi="Times New Roman" w:eastAsia="仿宋" w:cs="Times New Roman"/>
          <w:spacing w:val="-81"/>
          <w:sz w:val="31"/>
          <w:szCs w:val="31"/>
        </w:rPr>
        <w:t xml:space="preserve"> </w:t>
      </w:r>
      <w:r>
        <w:rPr>
          <w:rFonts w:hint="default" w:ascii="Times New Roman" w:hAnsi="Times New Roman" w:eastAsia="仿宋" w:cs="Times New Roman"/>
          <w:spacing w:val="-4"/>
          <w:sz w:val="31"/>
          <w:szCs w:val="31"/>
        </w:rPr>
        <w:t>已完成的前期工作：</w:t>
      </w:r>
    </w:p>
    <w:p w14:paraId="3F29EBC1">
      <w:pPr>
        <w:spacing w:before="171" w:line="334" w:lineRule="auto"/>
        <w:ind w:left="133" w:right="10" w:firstLine="641"/>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rPr>
        <w:t>目前已完成可研报告编制并取得批复项目完成四证一书办理</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rPr>
        <w:t>建设用地规划许可证、建设工程规划许可证、土地证、施工许可证及项目选址意见书，项目已取得初步设计批复、水保批复，环评与用地预审不涉及，项目前期工作已完成。</w:t>
      </w:r>
    </w:p>
    <w:p w14:paraId="399FFDDC">
      <w:pPr>
        <w:pStyle w:val="5"/>
        <w:numPr>
          <w:ilvl w:val="0"/>
          <w:numId w:val="0"/>
        </w:numPr>
        <w:spacing w:before="0" w:after="0" w:line="560" w:lineRule="exact"/>
        <w:ind w:firstLine="640" w:firstLineChars="200"/>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val="en-US"/>
        </w:rPr>
        <w:t>项目建设计划</w:t>
      </w:r>
    </w:p>
    <w:p w14:paraId="650F3C6B">
      <w:pPr>
        <w:ind w:firstLine="560"/>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kern w:val="2"/>
          <w:sz w:val="32"/>
          <w:szCs w:val="32"/>
          <w:lang w:val="en-US"/>
        </w:rPr>
        <w:t>本项目建设期计划52个月，即2021年5月至2025年12月。</w:t>
      </w:r>
    </w:p>
    <w:p w14:paraId="506EB411">
      <w:pPr>
        <w:pStyle w:val="4"/>
        <w:keepNext w:val="0"/>
        <w:keepLines w:val="0"/>
        <w:widowControl w:val="0"/>
        <w:numPr>
          <w:ilvl w:val="2"/>
          <w:numId w:val="0"/>
        </w:numPr>
        <w:snapToGrid/>
        <w:spacing w:before="0" w:beforeLines="0" w:after="0" w:afterLines="0" w:line="600" w:lineRule="exact"/>
        <w:ind w:firstLine="640" w:firstLineChars="200"/>
        <w:rPr>
          <w:rFonts w:hint="default" w:ascii="Times New Roman" w:hAnsi="Times New Roman" w:eastAsia="仿宋" w:cs="Times New Roman"/>
          <w:b w:val="0"/>
          <w:bCs/>
        </w:rPr>
      </w:pPr>
      <w:r>
        <w:rPr>
          <w:rFonts w:hint="default" w:ascii="Times New Roman" w:hAnsi="Times New Roman" w:eastAsia="仿宋_GB2312" w:cs="Times New Roman"/>
          <w:b w:val="0"/>
          <w:bCs/>
          <w:sz w:val="32"/>
          <w:szCs w:val="32"/>
        </w:rPr>
        <w:t>项目进度情况</w:t>
      </w:r>
      <w:r>
        <w:rPr>
          <w:rFonts w:hint="default" w:ascii="Times New Roman" w:hAnsi="Times New Roman" w:cs="Times New Roman"/>
          <w:b w:val="0"/>
          <w:bCs/>
          <w:sz w:val="32"/>
          <w:szCs w:val="32"/>
          <w:lang w:eastAsia="zh-CN"/>
        </w:rPr>
        <w:t>：</w:t>
      </w:r>
      <w:r>
        <w:rPr>
          <w:rFonts w:hint="default" w:ascii="Times New Roman" w:hAnsi="Times New Roman" w:eastAsia="仿宋_GB2312" w:cs="Times New Roman"/>
          <w:b w:val="0"/>
          <w:bCs/>
          <w:sz w:val="32"/>
          <w:szCs w:val="32"/>
        </w:rPr>
        <w:t>项目投资进度完成24%。建设初期因受瑞丽3年疫情防控影响，材料、机械、人员无法按时到位，项目现场建设进度缓慢，施工期间因疫情封控反复停工，导致工期延误未能按可研报告计划推进建设，至2023年复工建设后才正常推进。截止目前项目完工投入使用建筑面积40788.7平方米，建成交付使用面积占总建筑面积 17%，具体为:北侧1#、2#、3#、4#宿舍楼及南侧建成 21#、22#、23#宿舍楼及 8#公寓、2#食堂。正在建设另外4栋宿舍、1栋食堂主体工程及剩余厂房、宿舍楼、会展中心桩基施工，其中其中 5#、6#、7#宿舍楼主体结构工程施工至第5层、8#宿舍楼主体结构工程施工至第6层、1#食堂完成基础施工。截止目前现场完成资金投入约31020万元，完成比例约24%。施工进度与投资进度相匹配。</w:t>
      </w:r>
    </w:p>
    <w:p w14:paraId="74D10C26">
      <w:pPr>
        <w:pStyle w:val="4"/>
        <w:keepNext w:val="0"/>
        <w:keepLines w:val="0"/>
        <w:widowControl w:val="0"/>
        <w:numPr>
          <w:ilvl w:val="2"/>
          <w:numId w:val="0"/>
        </w:numPr>
        <w:snapToGrid/>
        <w:spacing w:before="0" w:beforeLines="0" w:after="0" w:afterLines="0" w:line="600" w:lineRule="exact"/>
        <w:ind w:left="642" w:leftChars="0"/>
        <w:rPr>
          <w:rFonts w:hint="default" w:ascii="Times New Roman" w:hAnsi="Times New Roman" w:eastAsia="仿宋" w:cs="Times New Roman"/>
        </w:rPr>
      </w:pPr>
      <w:r>
        <w:rPr>
          <w:rFonts w:hint="default" w:ascii="Times New Roman" w:hAnsi="Times New Roman" w:eastAsia="仿宋" w:cs="Times New Roman"/>
          <w:lang w:val="en-US" w:eastAsia="zh-CN"/>
        </w:rPr>
        <w:t>4.</w:t>
      </w:r>
      <w:r>
        <w:rPr>
          <w:rFonts w:hint="default" w:ascii="Times New Roman" w:hAnsi="Times New Roman" w:eastAsia="仿宋" w:cs="Times New Roman"/>
        </w:rPr>
        <w:t>资金筹措及使用计划</w:t>
      </w:r>
    </w:p>
    <w:p w14:paraId="70939777">
      <w:pPr>
        <w:widowControl/>
        <w:jc w:val="center"/>
        <w:textAlignment w:val="center"/>
      </w:pPr>
      <w:bookmarkStart w:id="30" w:name="_GoBack"/>
      <w:bookmarkEnd w:id="30"/>
      <w:r>
        <w:rPr>
          <w:rFonts w:hint="eastAsia" w:ascii="仿宋" w:hAnsi="仿宋" w:eastAsia="仿宋" w:cs="黑体"/>
          <w:b/>
          <w:bCs/>
          <w:color w:val="000000"/>
          <w:kern w:val="0"/>
          <w:sz w:val="32"/>
          <w:szCs w:val="32"/>
          <w:highlight w:val="none"/>
          <w:lang w:bidi="ar"/>
        </w:rPr>
        <w:t>资金筹措及使用计划表</w:t>
      </w:r>
    </w:p>
    <w:p w14:paraId="2F435B16"/>
    <w:tbl>
      <w:tblPr>
        <w:tblStyle w:val="12"/>
        <w:tblW w:w="52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2655"/>
        <w:gridCol w:w="1384"/>
        <w:gridCol w:w="1276"/>
        <w:gridCol w:w="1276"/>
        <w:gridCol w:w="1165"/>
        <w:gridCol w:w="1160"/>
      </w:tblGrid>
      <w:tr w14:paraId="5DC7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0EE3944F">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28A8DA50">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合计</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3C30C7B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2022年</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5D71AE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2023年</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6AE750DC">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2024年</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504681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2025年</w:t>
            </w:r>
          </w:p>
        </w:tc>
      </w:tr>
      <w:tr w14:paraId="7A34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76CA29F4">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项目总投资</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1D2DED63">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118,921.69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411BF84A">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25,407.74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AA7C71C">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1,392.54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02F66476">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66,000.00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35C4316">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26,121.41 </w:t>
            </w:r>
          </w:p>
        </w:tc>
      </w:tr>
      <w:tr w14:paraId="38B5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332D828F">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建设投资</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51097311">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112,946.69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DAF7FAF">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24,625.24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33774BB">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635.04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172F33CC">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64,242.50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79BBB4D">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23,443.91 </w:t>
            </w:r>
          </w:p>
        </w:tc>
      </w:tr>
      <w:tr w14:paraId="3CC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253C0EF3">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财务费用</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000CB550">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5,975.00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0409783">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782.50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037D4BC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757.50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4427673E">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1,757.50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97952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2,677.50 </w:t>
            </w:r>
          </w:p>
        </w:tc>
      </w:tr>
      <w:tr w14:paraId="71B5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14:paraId="2093FB3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noWrap/>
            <w:vAlign w:val="center"/>
          </w:tcPr>
          <w:p w14:paraId="7736CA8D">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专项债券建设期利息</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18B24118">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5,910.00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ED37E26">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757.50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B41AA44">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757.50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1ECF3614">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1,717.50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2E1C9B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2,677.50 </w:t>
            </w:r>
          </w:p>
        </w:tc>
      </w:tr>
      <w:tr w14:paraId="73B0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14:paraId="0C4CEDF6">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noWrap/>
            <w:vAlign w:val="center"/>
          </w:tcPr>
          <w:p w14:paraId="35E85ACE">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专项债券发行等前期费</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60080DB0">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65.00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08FF751B">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25.00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698D201">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644F989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40.00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E6265CD">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r>
      <w:tr w14:paraId="70ED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14:paraId="3F460450">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w:t>
            </w:r>
          </w:p>
        </w:tc>
        <w:tc>
          <w:tcPr>
            <w:tcW w:w="1396" w:type="pct"/>
            <w:tcBorders>
              <w:top w:val="single" w:color="000000" w:sz="4" w:space="0"/>
              <w:left w:val="single" w:color="000000" w:sz="4" w:space="0"/>
              <w:bottom w:val="single" w:color="000000" w:sz="4" w:space="0"/>
              <w:right w:val="single" w:color="000000" w:sz="4" w:space="0"/>
            </w:tcBorders>
            <w:noWrap/>
            <w:vAlign w:val="center"/>
          </w:tcPr>
          <w:p w14:paraId="0414594A">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其他融资建设期利息</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5CF2D8D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0C5C01B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3AD88561">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192C0F15">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50E907E">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r>
      <w:tr w14:paraId="527F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2E1FAF1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资金筹措</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6806F64">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118,921.69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78CB87D">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25,407.74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CF3D6C5">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1,392.54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78B9BE4E">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66,000.00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038CD8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26,121.41 </w:t>
            </w:r>
          </w:p>
        </w:tc>
      </w:tr>
      <w:tr w14:paraId="7E55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8" w:type="pct"/>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17155CE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资本金</w:t>
            </w:r>
          </w:p>
        </w:tc>
        <w:tc>
          <w:tcPr>
            <w:tcW w:w="1396" w:type="pct"/>
            <w:tcBorders>
              <w:top w:val="single" w:color="000000" w:sz="4" w:space="0"/>
              <w:left w:val="single" w:color="000000" w:sz="4" w:space="0"/>
              <w:bottom w:val="single" w:color="000000" w:sz="4" w:space="0"/>
              <w:right w:val="single" w:color="000000" w:sz="4" w:space="0"/>
            </w:tcBorders>
            <w:noWrap/>
            <w:vAlign w:val="center"/>
          </w:tcPr>
          <w:p w14:paraId="5B173DDA">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通过财政预算安排</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4E132994">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3F216E7">
            <w:pPr>
              <w:jc w:val="left"/>
              <w:rPr>
                <w:rFonts w:hint="eastAsia" w:ascii="仿宋" w:hAnsi="仿宋" w:eastAsia="仿宋" w:cs="仿宋"/>
                <w:b w:val="0"/>
                <w:bCs w:val="0"/>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E385641">
            <w:pPr>
              <w:jc w:val="left"/>
              <w:rPr>
                <w:rFonts w:hint="eastAsia" w:ascii="仿宋" w:hAnsi="仿宋" w:eastAsia="仿宋" w:cs="仿宋"/>
                <w:b w:val="0"/>
                <w:bCs w:val="0"/>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7F3E83EA">
            <w:pPr>
              <w:jc w:val="left"/>
              <w:rPr>
                <w:rFonts w:hint="eastAsia" w:ascii="仿宋" w:hAnsi="仿宋" w:eastAsia="仿宋" w:cs="仿宋"/>
                <w:b w:val="0"/>
                <w:bCs w:val="0"/>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0CAC41D">
            <w:pPr>
              <w:jc w:val="left"/>
              <w:rPr>
                <w:rFonts w:hint="eastAsia" w:ascii="仿宋" w:hAnsi="仿宋" w:eastAsia="仿宋" w:cs="仿宋"/>
                <w:b w:val="0"/>
                <w:bCs w:val="0"/>
                <w:i w:val="0"/>
                <w:iCs w:val="0"/>
                <w:color w:val="000000"/>
                <w:sz w:val="20"/>
                <w:szCs w:val="20"/>
                <w:u w:val="none"/>
              </w:rPr>
            </w:pPr>
          </w:p>
        </w:tc>
      </w:tr>
      <w:tr w14:paraId="399D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8"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CF3B56D">
            <w:pPr>
              <w:jc w:val="left"/>
              <w:rPr>
                <w:rFonts w:hint="eastAsia" w:ascii="仿宋" w:hAnsi="仿宋" w:eastAsia="仿宋" w:cs="仿宋"/>
                <w:b w:val="0"/>
                <w:bCs w:val="0"/>
                <w:i w:val="0"/>
                <w:iCs w:val="0"/>
                <w:color w:val="000000"/>
                <w:sz w:val="20"/>
                <w:szCs w:val="20"/>
                <w:u w:val="none"/>
              </w:rPr>
            </w:pPr>
          </w:p>
        </w:tc>
        <w:tc>
          <w:tcPr>
            <w:tcW w:w="1396" w:type="pct"/>
            <w:tcBorders>
              <w:top w:val="single" w:color="000000" w:sz="4" w:space="0"/>
              <w:left w:val="single" w:color="000000" w:sz="4" w:space="0"/>
              <w:bottom w:val="single" w:color="000000" w:sz="4" w:space="0"/>
              <w:right w:val="single" w:color="000000" w:sz="4" w:space="0"/>
            </w:tcBorders>
            <w:noWrap/>
            <w:vAlign w:val="center"/>
          </w:tcPr>
          <w:p w14:paraId="3FD1E7C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专项债券用于资本金部分</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664B5BAC">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081A0C27">
            <w:pPr>
              <w:jc w:val="left"/>
              <w:rPr>
                <w:rFonts w:hint="eastAsia" w:ascii="仿宋" w:hAnsi="仿宋" w:eastAsia="仿宋" w:cs="仿宋"/>
                <w:b w:val="0"/>
                <w:bCs w:val="0"/>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041FD5CF">
            <w:pPr>
              <w:jc w:val="left"/>
              <w:rPr>
                <w:rFonts w:hint="eastAsia" w:ascii="仿宋" w:hAnsi="仿宋" w:eastAsia="仿宋" w:cs="仿宋"/>
                <w:b w:val="0"/>
                <w:bCs w:val="0"/>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2D74D123">
            <w:pPr>
              <w:jc w:val="left"/>
              <w:rPr>
                <w:rFonts w:hint="eastAsia" w:ascii="仿宋" w:hAnsi="仿宋" w:eastAsia="仿宋" w:cs="仿宋"/>
                <w:b w:val="0"/>
                <w:bCs w:val="0"/>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AFBBD5F">
            <w:pPr>
              <w:jc w:val="left"/>
              <w:rPr>
                <w:rFonts w:hint="eastAsia" w:ascii="仿宋" w:hAnsi="仿宋" w:eastAsia="仿宋" w:cs="仿宋"/>
                <w:b w:val="0"/>
                <w:bCs w:val="0"/>
                <w:i w:val="0"/>
                <w:iCs w:val="0"/>
                <w:color w:val="000000"/>
                <w:sz w:val="20"/>
                <w:szCs w:val="20"/>
                <w:u w:val="none"/>
              </w:rPr>
            </w:pPr>
          </w:p>
        </w:tc>
      </w:tr>
      <w:tr w14:paraId="2049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8" w:type="pct"/>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8263FF4">
            <w:pPr>
              <w:jc w:val="left"/>
              <w:rPr>
                <w:rFonts w:hint="eastAsia" w:ascii="仿宋" w:hAnsi="仿宋" w:eastAsia="仿宋" w:cs="仿宋"/>
                <w:b w:val="0"/>
                <w:bCs w:val="0"/>
                <w:i w:val="0"/>
                <w:iCs w:val="0"/>
                <w:color w:val="000000"/>
                <w:sz w:val="20"/>
                <w:szCs w:val="20"/>
                <w:u w:val="none"/>
              </w:rPr>
            </w:pPr>
          </w:p>
        </w:tc>
        <w:tc>
          <w:tcPr>
            <w:tcW w:w="1396" w:type="pct"/>
            <w:tcBorders>
              <w:top w:val="single" w:color="000000" w:sz="4" w:space="0"/>
              <w:left w:val="single" w:color="000000" w:sz="4" w:space="0"/>
              <w:bottom w:val="single" w:color="000000" w:sz="4" w:space="0"/>
              <w:right w:val="single" w:color="000000" w:sz="4" w:space="0"/>
            </w:tcBorders>
            <w:noWrap/>
            <w:vAlign w:val="center"/>
          </w:tcPr>
          <w:p w14:paraId="41A930DF">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单位或社会资本方自有资金</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2E4E8786">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53,921.69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33A5092F">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407.74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1696145">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1,392.54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06805065">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26,000.00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EB5118E">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26,121.41 </w:t>
            </w:r>
          </w:p>
        </w:tc>
      </w:tr>
      <w:tr w14:paraId="3FC1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74A4537F">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专项债券本金</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6F9F7B99">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65,000.00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93904D7">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25,000.00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5469546D">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53DD3E90">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40,000.00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0657864">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r>
      <w:tr w14:paraId="14BD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705" w:type="pct"/>
            <w:gridSpan w:val="2"/>
            <w:tcBorders>
              <w:top w:val="single" w:color="000000" w:sz="4" w:space="0"/>
              <w:left w:val="single" w:color="000000" w:sz="4" w:space="0"/>
              <w:bottom w:val="single" w:color="000000" w:sz="4" w:space="0"/>
              <w:right w:val="single" w:color="000000" w:sz="4" w:space="0"/>
            </w:tcBorders>
            <w:noWrap/>
            <w:vAlign w:val="center"/>
          </w:tcPr>
          <w:p w14:paraId="072D00B1">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市场化融资</w:t>
            </w:r>
          </w:p>
        </w:tc>
        <w:tc>
          <w:tcPr>
            <w:tcW w:w="728" w:type="pct"/>
            <w:tcBorders>
              <w:top w:val="single" w:color="000000" w:sz="4" w:space="0"/>
              <w:left w:val="single" w:color="000000" w:sz="4" w:space="0"/>
              <w:bottom w:val="single" w:color="000000" w:sz="4" w:space="0"/>
              <w:right w:val="single" w:color="000000" w:sz="4" w:space="0"/>
            </w:tcBorders>
            <w:noWrap/>
            <w:vAlign w:val="center"/>
          </w:tcPr>
          <w:p w14:paraId="2CB73BDD">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4590E46A">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0383E756">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2E28D4D8">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0.00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4396EB0">
            <w:pPr>
              <w:jc w:val="left"/>
              <w:rPr>
                <w:rFonts w:hint="eastAsia" w:ascii="仿宋" w:hAnsi="仿宋" w:eastAsia="仿宋" w:cs="仿宋"/>
                <w:b w:val="0"/>
                <w:bCs w:val="0"/>
                <w:i w:val="0"/>
                <w:iCs w:val="0"/>
                <w:color w:val="000000"/>
                <w:sz w:val="20"/>
                <w:szCs w:val="20"/>
                <w:u w:val="none"/>
              </w:rPr>
            </w:pPr>
          </w:p>
        </w:tc>
      </w:tr>
    </w:tbl>
    <w:p w14:paraId="0560BE91">
      <w:pPr>
        <w:pStyle w:val="5"/>
        <w:widowControl w:val="0"/>
        <w:snapToGrid/>
        <w:spacing w:before="0" w:after="0" w:line="600" w:lineRule="exact"/>
        <w:ind w:left="0" w:leftChars="0" w:firstLine="0" w:firstLineChars="0"/>
        <w:jc w:val="left"/>
        <w:rPr>
          <w:rFonts w:ascii="仿宋" w:hAnsi="仿宋" w:eastAsia="仿宋"/>
          <w:kern w:val="2"/>
          <w:sz w:val="32"/>
          <w:szCs w:val="32"/>
          <w:lang w:val="en-US"/>
        </w:rPr>
      </w:pPr>
    </w:p>
    <w:p w14:paraId="71E25C2B">
      <w:pPr>
        <w:pStyle w:val="5"/>
        <w:widowControl w:val="0"/>
        <w:snapToGrid/>
        <w:spacing w:before="0" w:after="0" w:line="600" w:lineRule="exact"/>
        <w:ind w:left="0" w:leftChars="0" w:firstLine="0" w:firstLineChars="0"/>
        <w:jc w:val="left"/>
        <w:rPr>
          <w:rFonts w:ascii="仿宋" w:hAnsi="仿宋" w:eastAsia="仿宋"/>
          <w:kern w:val="2"/>
          <w:sz w:val="32"/>
          <w:szCs w:val="32"/>
          <w:lang w:val="en-US"/>
        </w:rPr>
      </w:pPr>
    </w:p>
    <w:p w14:paraId="0B22910B">
      <w:pPr>
        <w:pStyle w:val="14"/>
        <w:jc w:val="lef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LF_Kai">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CE27D"/>
    <w:multiLevelType w:val="multilevel"/>
    <w:tmpl w:val="229CE27D"/>
    <w:lvl w:ilvl="0" w:tentative="0">
      <w:start w:val="1"/>
      <w:numFmt w:val="chineseCounting"/>
      <w:suff w:val="nothing"/>
      <w:lvlText w:val="%1、"/>
      <w:lvlJc w:val="left"/>
      <w:rPr>
        <w:rFonts w:hint="eastAsia" w:cs="Times New Roman"/>
      </w:rPr>
    </w:lvl>
    <w:lvl w:ilvl="1" w:tentative="0">
      <w:start w:val="1"/>
      <w:numFmt w:val="chineseCounting"/>
      <w:pStyle w:val="3"/>
      <w:suff w:val="nothing"/>
      <w:lvlText w:val="（%2）"/>
      <w:lvlJc w:val="left"/>
      <w:rPr>
        <w:rFonts w:hint="eastAsia" w:cs="Times New Roman"/>
      </w:rPr>
    </w:lvl>
    <w:lvl w:ilvl="2" w:tentative="0">
      <w:start w:val="1"/>
      <w:numFmt w:val="decimal"/>
      <w:pStyle w:val="4"/>
      <w:suff w:val="nothing"/>
      <w:lvlText w:val="%3."/>
      <w:lvlJc w:val="left"/>
      <w:pPr>
        <w:tabs>
          <w:tab w:val="left" w:pos="310"/>
        </w:tabs>
        <w:ind w:firstLine="400"/>
      </w:pPr>
      <w:rPr>
        <w:rFonts w:hint="default" w:ascii="Times New Roman" w:hAnsi="Times New Roman" w:eastAsia="仿宋_GB2312"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1">
    <w:nsid w:val="5D89E7D6"/>
    <w:multiLevelType w:val="singleLevel"/>
    <w:tmpl w:val="5D89E7D6"/>
    <w:lvl w:ilvl="0" w:tentative="0">
      <w:start w:val="1"/>
      <w:numFmt w:val="decimalFullWidth"/>
      <w:suff w:val="nothing"/>
      <w:lvlText w:val="（%1）"/>
      <w:lvlJc w:val="left"/>
      <w:pPr>
        <w:ind w:left="-2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TkzMTJlMzZhNjc2NTAyMjYwNjFkZWJmMjlhOGEifQ=="/>
  </w:docVars>
  <w:rsids>
    <w:rsidRoot w:val="00F7123C"/>
    <w:rsid w:val="0007523C"/>
    <w:rsid w:val="000B0318"/>
    <w:rsid w:val="00210EFC"/>
    <w:rsid w:val="002805F5"/>
    <w:rsid w:val="003C6E93"/>
    <w:rsid w:val="003D00CE"/>
    <w:rsid w:val="00430D7A"/>
    <w:rsid w:val="004C405C"/>
    <w:rsid w:val="004E03EE"/>
    <w:rsid w:val="00507F4B"/>
    <w:rsid w:val="005E5219"/>
    <w:rsid w:val="005F23D3"/>
    <w:rsid w:val="0065059F"/>
    <w:rsid w:val="006F1F2E"/>
    <w:rsid w:val="0090700D"/>
    <w:rsid w:val="009754D5"/>
    <w:rsid w:val="0098084B"/>
    <w:rsid w:val="009F3220"/>
    <w:rsid w:val="00A26363"/>
    <w:rsid w:val="00BD7A53"/>
    <w:rsid w:val="00BF74D0"/>
    <w:rsid w:val="00C450C3"/>
    <w:rsid w:val="00C95C55"/>
    <w:rsid w:val="00D24552"/>
    <w:rsid w:val="00E55069"/>
    <w:rsid w:val="00F23753"/>
    <w:rsid w:val="00F7123C"/>
    <w:rsid w:val="00FC3E42"/>
    <w:rsid w:val="0487638E"/>
    <w:rsid w:val="055C6EAB"/>
    <w:rsid w:val="0B992C7B"/>
    <w:rsid w:val="0FCA5299"/>
    <w:rsid w:val="175C6104"/>
    <w:rsid w:val="1BAE077A"/>
    <w:rsid w:val="1CEF697D"/>
    <w:rsid w:val="2AC11037"/>
    <w:rsid w:val="2C1E1C93"/>
    <w:rsid w:val="32E842D0"/>
    <w:rsid w:val="38654298"/>
    <w:rsid w:val="39FA639D"/>
    <w:rsid w:val="460358DE"/>
    <w:rsid w:val="4A082C1C"/>
    <w:rsid w:val="4AA2506E"/>
    <w:rsid w:val="546A57D9"/>
    <w:rsid w:val="64CA53CA"/>
    <w:rsid w:val="65B30CAE"/>
    <w:rsid w:val="67410A2E"/>
    <w:rsid w:val="7D9B1386"/>
    <w:rsid w:val="7EFE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4"/>
    <w:next w:val="5"/>
    <w:qFormat/>
    <w:uiPriority w:val="99"/>
    <w:pPr>
      <w:numPr>
        <w:ilvl w:val="1"/>
        <w:numId w:val="1"/>
      </w:numPr>
      <w:tabs>
        <w:tab w:val="left" w:pos="310"/>
      </w:tabs>
      <w:spacing w:before="100" w:after="50" w:line="600" w:lineRule="exact"/>
      <w:ind w:firstLine="0"/>
      <w:outlineLvl w:val="1"/>
    </w:pPr>
    <w:rPr>
      <w:rFonts w:eastAsia="楷体"/>
    </w:rPr>
  </w:style>
  <w:style w:type="paragraph" w:styleId="4">
    <w:name w:val="heading 3"/>
    <w:basedOn w:val="5"/>
    <w:next w:val="5"/>
    <w:qFormat/>
    <w:uiPriority w:val="99"/>
    <w:pPr>
      <w:keepNext/>
      <w:keepLines/>
      <w:numPr>
        <w:ilvl w:val="2"/>
        <w:numId w:val="1"/>
      </w:numPr>
      <w:spacing w:beforeLines="100" w:afterLines="50" w:line="360" w:lineRule="auto"/>
      <w:jc w:val="left"/>
      <w:outlineLvl w:val="2"/>
    </w:pPr>
    <w:rPr>
      <w:rFonts w:eastAsia="仿宋_GB2312"/>
      <w:b/>
      <w:sz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仿宋_GB2312" w:hAnsi="宋体"/>
      <w:color w:val="FF0000"/>
      <w:sz w:val="28"/>
    </w:rPr>
  </w:style>
  <w:style w:type="paragraph" w:styleId="5">
    <w:name w:val="Body Text"/>
    <w:basedOn w:val="1"/>
    <w:next w:val="6"/>
    <w:qFormat/>
    <w:uiPriority w:val="99"/>
    <w:pPr>
      <w:widowControl/>
      <w:adjustRightInd w:val="0"/>
      <w:snapToGrid w:val="0"/>
      <w:spacing w:before="150" w:after="150" w:line="264" w:lineRule="auto"/>
      <w:ind w:firstLine="567"/>
    </w:pPr>
    <w:rPr>
      <w:rFonts w:ascii="华文楷体" w:hAnsi="华文楷体" w:eastAsia="LF_Kai"/>
      <w:kern w:val="0"/>
      <w:sz w:val="24"/>
      <w:szCs w:val="20"/>
      <w:lang w:val="en-GB"/>
    </w:rPr>
  </w:style>
  <w:style w:type="paragraph" w:styleId="6">
    <w:name w:val="toc 5"/>
    <w:basedOn w:val="1"/>
    <w:next w:val="1"/>
    <w:unhideWhenUsed/>
    <w:qFormat/>
    <w:uiPriority w:val="39"/>
    <w:pPr>
      <w:ind w:left="1680" w:leftChars="800"/>
    </w:pPr>
  </w:style>
  <w:style w:type="paragraph" w:styleId="7">
    <w:name w:val="caption"/>
    <w:basedOn w:val="1"/>
    <w:next w:val="1"/>
    <w:qFormat/>
    <w:uiPriority w:val="35"/>
    <w:pPr>
      <w:keepNext/>
      <w:spacing w:line="240" w:lineRule="auto"/>
      <w:ind w:firstLine="0" w:firstLineChars="0"/>
      <w:jc w:val="center"/>
    </w:pPr>
    <w:rPr>
      <w:rFonts w:ascii="Cambria" w:hAnsi="Cambria" w:eastAsia="黑体"/>
      <w:sz w:val="24"/>
    </w:rPr>
  </w:style>
  <w:style w:type="paragraph" w:styleId="8">
    <w:name w:val="List 2"/>
    <w:basedOn w:val="1"/>
    <w:qFormat/>
    <w:uiPriority w:val="0"/>
    <w:pPr>
      <w:ind w:left="400" w:leftChars="200" w:hanging="200" w:hangingChars="200"/>
      <w:contextualSpacing/>
    </w:pPr>
  </w:style>
  <w:style w:type="paragraph" w:styleId="9">
    <w:name w:val="Plain Text"/>
    <w:basedOn w:val="1"/>
    <w:next w:val="1"/>
    <w:unhideWhenUsed/>
    <w:qFormat/>
    <w:uiPriority w:val="99"/>
    <w:rPr>
      <w:rFonts w:hAnsi="Courier New"/>
      <w:kern w:val="0"/>
      <w:sz w:val="20"/>
      <w:szCs w:val="21"/>
      <w:lang w:val="zh-CN"/>
    </w:rPr>
  </w:style>
  <w:style w:type="paragraph" w:styleId="10">
    <w:name w:val="footer"/>
    <w:basedOn w:val="1"/>
    <w:link w:val="17"/>
    <w:qFormat/>
    <w:uiPriority w:val="99"/>
    <w:pPr>
      <w:tabs>
        <w:tab w:val="center" w:pos="4153"/>
        <w:tab w:val="right" w:pos="8306"/>
      </w:tabs>
      <w:snapToGrid w:val="0"/>
      <w:jc w:val="left"/>
    </w:pPr>
    <w:rPr>
      <w:sz w:val="18"/>
      <w:szCs w:val="18"/>
    </w:rPr>
  </w:style>
  <w:style w:type="paragraph" w:styleId="11">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customStyle="1" w:styleId="14">
    <w:name w:val="图表目录1"/>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16">
    <w:name w:val="页眉 Char"/>
    <w:basedOn w:val="13"/>
    <w:link w:val="11"/>
    <w:qFormat/>
    <w:uiPriority w:val="99"/>
    <w:rPr>
      <w:rFonts w:ascii="Times New Roman" w:hAnsi="Times New Roman" w:eastAsia="宋体" w:cs="Times New Roman"/>
      <w:sz w:val="18"/>
      <w:szCs w:val="18"/>
    </w:rPr>
  </w:style>
  <w:style w:type="character" w:customStyle="1" w:styleId="17">
    <w:name w:val="页脚 Char"/>
    <w:basedOn w:val="13"/>
    <w:link w:val="10"/>
    <w:qFormat/>
    <w:uiPriority w:val="99"/>
    <w:rPr>
      <w:rFonts w:ascii="Times New Roman" w:hAnsi="Times New Roman" w:eastAsia="宋体" w:cs="Times New Roman"/>
      <w:sz w:val="18"/>
      <w:szCs w:val="18"/>
    </w:rPr>
  </w:style>
  <w:style w:type="paragraph" w:customStyle="1" w:styleId="18">
    <w:name w:val="表头"/>
    <w:basedOn w:val="1"/>
    <w:qFormat/>
    <w:uiPriority w:val="0"/>
    <w:pPr>
      <w:spacing w:line="240" w:lineRule="auto"/>
      <w:ind w:firstLine="0" w:firstLineChars="0"/>
      <w:jc w:val="center"/>
    </w:pPr>
    <w:rPr>
      <w:rFonts w:eastAsia="宋体"/>
      <w:b/>
      <w:sz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E3F81-D212-4545-9E4F-A71FD48AC7A8}">
  <ds:schemaRefs/>
</ds:datastoreItem>
</file>

<file path=docProps/app.xml><?xml version="1.0" encoding="utf-8"?>
<Properties xmlns="http://schemas.openxmlformats.org/officeDocument/2006/extended-properties" xmlns:vt="http://schemas.openxmlformats.org/officeDocument/2006/docPropsVTypes">
  <Template>Normal</Template>
  <Pages>5</Pages>
  <Words>1671</Words>
  <Characters>2285</Characters>
  <Lines>8</Lines>
  <Paragraphs>2</Paragraphs>
  <TotalTime>4</TotalTime>
  <ScaleCrop>false</ScaleCrop>
  <LinksUpToDate>false</LinksUpToDate>
  <CharactersWithSpaces>2371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2019-05-17T10:38:00Z</dcterms:created>
  <dc:creator>赵鹄</dc:creator>
  <cp:lastModifiedBy>南乐坛</cp:lastModifiedBy>
  <cp:lastPrinted>2019-06-03T09:40:00Z</cp:lastPrinted>
  <dcterms:modified xsi:type="dcterms:W3CDTF">2024-09-05T07:52:13Z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37C9F653DDD642A7A4F9CB98B967D307_13</vt:lpwstr>
  </property>
</Properties>
</file>