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0237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2018年教育建档立卡贫困户帮扶资金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的通知</w:t>
      </w:r>
    </w:p>
    <w:p>
      <w:pPr>
        <w:spacing w:line="7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7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市直各教育单位：</w:t>
      </w:r>
    </w:p>
    <w:p>
      <w:pPr>
        <w:spacing w:line="7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根据年初预算安排及领导批示，现将2018年教育建档立卡贫困户帮扶各阶段资金下达给你们，请按附表内容列入2018年的相关支出。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6552" w:firstLineChars="21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6240" w:firstLineChars="20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本局国库股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 xml:space="preserve">瑞丽市财政局                    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eastAsia="方正仿宋_GBK"/>
          <w:spacing w:val="-4"/>
          <w:sz w:val="28"/>
          <w:szCs w:val="28"/>
        </w:rPr>
        <w:t>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7220F"/>
    <w:rsid w:val="069353A4"/>
    <w:rsid w:val="160264EC"/>
    <w:rsid w:val="1B064834"/>
    <w:rsid w:val="1F650917"/>
    <w:rsid w:val="232F53A8"/>
    <w:rsid w:val="2A5F0C99"/>
    <w:rsid w:val="30A50068"/>
    <w:rsid w:val="30D74E98"/>
    <w:rsid w:val="39D30925"/>
    <w:rsid w:val="45EB0E9D"/>
    <w:rsid w:val="4D915E8E"/>
    <w:rsid w:val="4EDD29AE"/>
    <w:rsid w:val="50A622BC"/>
    <w:rsid w:val="5227220F"/>
    <w:rsid w:val="5A8248B5"/>
    <w:rsid w:val="5B68323F"/>
    <w:rsid w:val="5F193A1A"/>
    <w:rsid w:val="63E448C1"/>
    <w:rsid w:val="695C2DDF"/>
    <w:rsid w:val="6DBA4C9F"/>
    <w:rsid w:val="711A685F"/>
    <w:rsid w:val="7898717B"/>
    <w:rsid w:val="796535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351;&#26631;\2018&#24180;&#24066;&#32423;&#25351;&#26631;\&#24066;&#32423;&#25351;&#2663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市级指标模板.wpt</Template>
  <Company>德宏州瑞丽市党政机关单位</Company>
  <Pages>2</Pages>
  <Words>42</Words>
  <Characters>42</Characters>
  <Lines>0</Lines>
  <Paragraphs>0</Paragraphs>
  <ScaleCrop>false</ScaleCrop>
  <LinksUpToDate>false</LinksUpToDate>
  <CharactersWithSpaces>66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2018-03-15T00:33:00Z</dcterms:created>
  <dc:creator>Administrator</dc:creator>
  <cp:lastModifiedBy>Administrator</cp:lastModifiedBy>
  <dcterms:modified xsi:type="dcterms:W3CDTF">2018-03-15T00:59:28Z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