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市直教育各单位：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经费608.89万元(中央资金304.45万元，省级资金304.44万元），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此款列入2018年“2050202—小学教育243.71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万元或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2050203—初中教育365.18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1033422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5D7ADB"/>
    <w:rsid w:val="50A622BC"/>
    <w:rsid w:val="51163A57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63D52FF"/>
    <w:rsid w:val="777378FA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2019-11-26T08:44:24Z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