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0" w:afterAutospacing="0" w:line="345" w:lineRule="atLeast"/>
        <w:jc w:val="center"/>
        <w:rPr>
          <w:rFonts w:hint="eastAsia"/>
          <w:b/>
          <w:bCs/>
          <w:color w:val="222222"/>
          <w:sz w:val="44"/>
          <w:szCs w:val="44"/>
          <w:shd w:val="clear" w:color="auto" w:fill="FFFFFF"/>
        </w:rPr>
      </w:pPr>
      <w:r>
        <w:rPr>
          <w:rFonts w:hint="eastAsia"/>
          <w:b/>
          <w:bCs/>
          <w:color w:val="222222"/>
          <w:sz w:val="44"/>
          <w:szCs w:val="44"/>
          <w:shd w:val="clear" w:color="auto" w:fill="FFFFFF"/>
          <w:lang w:eastAsia="zh-CN"/>
        </w:rPr>
        <w:t>关于</w:t>
      </w:r>
      <w:r>
        <w:rPr>
          <w:rFonts w:hint="eastAsia"/>
          <w:b/>
          <w:bCs/>
          <w:color w:val="222222"/>
          <w:sz w:val="44"/>
          <w:szCs w:val="44"/>
          <w:shd w:val="clear" w:color="auto" w:fill="FFFFFF"/>
        </w:rPr>
        <w:t>瑞丽市政务服务管理局</w:t>
      </w:r>
    </w:p>
    <w:p>
      <w:pPr>
        <w:pStyle w:val="5"/>
        <w:shd w:val="clear" w:color="auto" w:fill="FFFFFF"/>
        <w:spacing w:before="0" w:beforeAutospacing="0" w:after="0" w:afterAutospacing="0" w:line="345" w:lineRule="atLeast"/>
        <w:jc w:val="center"/>
        <w:rPr>
          <w:rFonts w:hint="eastAsia"/>
          <w:b/>
          <w:bCs/>
          <w:color w:val="222222"/>
          <w:sz w:val="44"/>
          <w:szCs w:val="44"/>
          <w:shd w:val="clear" w:color="auto" w:fill="FFFFFF"/>
        </w:rPr>
      </w:pPr>
      <w:r>
        <w:rPr>
          <w:rFonts w:hint="eastAsia"/>
          <w:b/>
          <w:bCs/>
          <w:color w:val="222222"/>
          <w:sz w:val="44"/>
          <w:szCs w:val="44"/>
          <w:shd w:val="clear" w:color="auto" w:fill="FFFFFF"/>
        </w:rPr>
        <w:t>2018年部门预算编制的说明</w:t>
      </w:r>
    </w:p>
    <w:p>
      <w:pPr>
        <w:pStyle w:val="5"/>
        <w:shd w:val="clear" w:color="auto" w:fill="FFFFFF"/>
        <w:spacing w:before="0" w:beforeAutospacing="0" w:after="0" w:afterAutospacing="0" w:line="345" w:lineRule="atLeast"/>
        <w:jc w:val="center"/>
        <w:rPr>
          <w:rFonts w:hint="eastAsia"/>
          <w:b/>
          <w:bCs/>
          <w:color w:val="222222"/>
          <w:sz w:val="44"/>
          <w:szCs w:val="44"/>
          <w:shd w:val="clear" w:color="auto" w:fill="FFFFFF"/>
        </w:rPr>
      </w:pPr>
      <w:r>
        <w:rPr>
          <w:rFonts w:hint="eastAsia"/>
          <w:b/>
          <w:bCs/>
          <w:color w:val="222222"/>
          <w:sz w:val="44"/>
          <w:szCs w:val="44"/>
          <w:shd w:val="clear" w:color="auto" w:fill="FFFFFF"/>
        </w:rPr>
        <w:t xml:space="preserve"> </w:t>
      </w:r>
    </w:p>
    <w:p>
      <w:pPr>
        <w:pStyle w:val="2"/>
        <w:adjustRightInd w:val="0"/>
        <w:snapToGrid w:val="0"/>
        <w:spacing w:before="93"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按照预算管理的相关规定，目前部门预算的编制实行全口径预算管理，即收入和支出全部纳入预算管理，全部收入和支出都反映在预算中。</w:t>
      </w:r>
      <w:bookmarkStart w:id="0" w:name="_GoBack"/>
      <w:bookmarkEnd w:id="0"/>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一、基本职能及主要工作</w:t>
      </w:r>
    </w:p>
    <w:p>
      <w:pPr>
        <w:spacing w:line="60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（一）政务服务管理局基本职责</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负责政务服务中心日常管理工作；负责完善政务服务中心的运行机制，建立健全政务服务管理的各项规章制度并组织实施；负责指导分中心、乡(镇、农场)服务体系建设工作。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负责行政审批网上大厅和投资项目并联审批相关工作。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负责局机关和政务服务中心的网络信息化建设及管理工作，做好计算机网络信息系统的建设和维护工作。</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负责履行公共资源交易活动的管理、</w:t>
      </w:r>
      <w:r>
        <w:rPr>
          <w:rFonts w:hint="eastAsia" w:ascii="仿宋" w:hAnsi="仿宋" w:eastAsia="仿宋" w:cs="仿宋"/>
          <w:color w:val="000000"/>
          <w:sz w:val="32"/>
          <w:szCs w:val="32"/>
        </w:rPr>
        <w:t>监督和指导职责，加强对公共资源交易项目进场交易活动的综合监督；</w:t>
      </w:r>
      <w:r>
        <w:rPr>
          <w:rFonts w:hint="eastAsia" w:ascii="仿宋" w:hAnsi="仿宋" w:eastAsia="仿宋" w:cs="仿宋"/>
          <w:sz w:val="32"/>
          <w:szCs w:val="32"/>
        </w:rPr>
        <w:t>负责管理市公共资源交易中心、政府采购和出让中心。</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贯彻执行国家、省和州有关行政审批制度改革方面的方针政策和法律法规；制定行政审批局各项规章制度和管理办法，并组织实施。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研究探索行政审批制度改革，规范行政审批行为、优化政务服务环境等工作，提出解决意见和建议，为市委、市政府科学决策提供参考。</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7.</w:t>
      </w:r>
      <w:r>
        <w:rPr>
          <w:rFonts w:hint="eastAsia" w:ascii="仿宋" w:hAnsi="仿宋" w:eastAsia="仿宋" w:cs="仿宋"/>
          <w:sz w:val="32"/>
          <w:szCs w:val="32"/>
        </w:rPr>
        <w:t>负责规范所承担的市级行政审批行为，建立和完善相应工作机制；负责对所承担的市级行政审批、行政服务事项进行流程再造、优化环节、压缩时限、并对办理情况进行跟踪督办，协调解决事项办理中存在的问题。</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负责对所承担的行政审批及行政服务事项实施行政审批，及时向各职能部门推送行政审批信息，完成需报上级主管部门审批事项的组件，并对审批行为承担相应的法律责任。</w:t>
      </w:r>
    </w:p>
    <w:p>
      <w:pPr>
        <w:spacing w:line="56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负责组织或协调相关部门对所承担的行政审批事项开展现场勘查、专家评审、技术论证等相关工作，并承担相应的法律责任。</w:t>
      </w:r>
    </w:p>
    <w:p>
      <w:pPr>
        <w:spacing w:line="560" w:lineRule="exact"/>
        <w:ind w:firstLine="66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负责事项划转后，相关业务资料的立卷归档、日常管理、受理档案查询、变更备案等工作，并根据需要共享给相关单位；负责事项办理过程中的“双告知”工作。</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11.</w:t>
      </w:r>
      <w:r>
        <w:rPr>
          <w:rFonts w:hint="eastAsia" w:ascii="仿宋" w:hAnsi="仿宋" w:eastAsia="仿宋" w:cs="仿宋"/>
          <w:sz w:val="32"/>
          <w:szCs w:val="32"/>
        </w:rPr>
        <w:t>负责派驻政务大厅的垂管部门、双重管理部门设置窗口行政审批工作的规范、管理和监督。</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12.</w:t>
      </w:r>
      <w:r>
        <w:rPr>
          <w:rFonts w:hint="eastAsia" w:ascii="仿宋" w:hAnsi="仿宋" w:eastAsia="仿宋" w:cs="仿宋"/>
          <w:sz w:val="32"/>
          <w:szCs w:val="32"/>
        </w:rPr>
        <w:t>负责市级行政审批综合服务平台的建设和管理。</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13.</w:t>
      </w:r>
      <w:r>
        <w:rPr>
          <w:rFonts w:hint="eastAsia" w:ascii="仿宋" w:hAnsi="仿宋" w:eastAsia="仿宋" w:cs="仿宋"/>
          <w:sz w:val="32"/>
          <w:szCs w:val="32"/>
        </w:rPr>
        <w:t>负责受理市级划转至市行政审批局及整建制派驻部门行政审批行为的投诉举报，会同有关部门查处行政审批方面的违法违纪行为。</w:t>
      </w:r>
    </w:p>
    <w:p>
      <w:pPr>
        <w:spacing w:line="56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14.</w:t>
      </w:r>
      <w:r>
        <w:rPr>
          <w:rFonts w:hint="eastAsia" w:ascii="仿宋" w:hAnsi="仿宋" w:eastAsia="仿宋" w:cs="仿宋"/>
          <w:sz w:val="32"/>
          <w:szCs w:val="32"/>
        </w:rPr>
        <w:t>负责行政审批局工作人员的教育培训、管理和绩效考核。</w:t>
      </w:r>
    </w:p>
    <w:p>
      <w:pPr>
        <w:spacing w:line="560" w:lineRule="exact"/>
        <w:rPr>
          <w:rFonts w:hint="eastAsia" w:ascii="仿宋" w:hAnsi="仿宋" w:eastAsia="仿宋" w:cs="仿宋"/>
          <w:kern w:val="2"/>
          <w:sz w:val="32"/>
          <w:szCs w:val="32"/>
          <w:lang w:val="en-US" w:eastAsia="zh-CN" w:bidi="ar-SA"/>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5.承办市委、市政府交办的其他事项。</w:t>
      </w:r>
    </w:p>
    <w:p>
      <w:pPr>
        <w:widowControl/>
        <w:shd w:val="clear" w:color="auto" w:fill="FFFFFF"/>
        <w:snapToGrid w:val="0"/>
        <w:spacing w:line="560" w:lineRule="exact"/>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（二）2018年主要工作</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1.强化政务服务中心建设和管理，充分发挥和运用好《进驻政务服务中心工作人员年度考核办法》，切实增强工作人员责任意识、纪律意识、服务意识、效能意识和廉洁自律意识，在提升服务效能上下功夫。</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2.进一步解放思想，勇于创新，敢于担当，先行先试，把我市行政审批改革工作向纵深推进。</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3.加强向上请示汇报和工作对接协调，争取省、州给予我市行政审批制度综合改革试点工作更多的关注、认可和支持。</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4.进一步明确权责，理顺行政审批局与相关部门的关系，搭建审管分离、分工协作、职能互补、协同联动的工作机制。</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研究吃透用活用足国家、省、州有关政策及法律法规，进一步加大再精简审批要件、再规范审批程序、再优化审批流程、再压缩审批时限、再提高审批效率的工作落实力度，力争2018年初完全实现项目投资从企业注册登记到开工建设审批87天完成的总体目标，打造全省审批速度最快、服务最优的地区之一。</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6.摸清投资项目审批中介服务机构情况，着力压缩中介服务时限，规范中介服务价格，做足审批中介服务机构提质增效和降低制度性交易成本的功课。</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7.积极推进“互联网+政务服务”工作，打通信息孤岛，实现部门与部门之间信息跑路、数据共享，切实降低企业和群众办事成本。</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8.加快完善公共资源交易电子化平台建设，尽快施评标专家异地电子化评标，全面促进招投标领域的公开、公平、公正，进一步减少公共资源交易的违规违纪现象。</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9.积极组织相关部门研究制定我市在公共资源交易方面保税控税、协税护税具体措施。</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10.全面建设行为规范、公正透明、廉洁高效的交易、审批环境，切实提高工作水平和服务质量，高效推进“廉洁采购”、“阳光采购”、“廉洁审批”、“阳光审批”，确保全局工作健康有序发展。</w:t>
      </w:r>
    </w:p>
    <w:p>
      <w:pPr>
        <w:spacing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11.是加强干部队伍自身建设，加大培训教育力度，采取“请进来，送出去”方式，进一步强化工作人员培训教育，提高业务技能、增强服务意识、改进服务态度、提升服务水平，努力打造一支“业务精通、务实担当、纪律严明、廉洁奉公”的政务服务队伍。</w:t>
      </w:r>
    </w:p>
    <w:p>
      <w:pPr>
        <w:spacing w:line="60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二、部门预算编制情况</w:t>
      </w:r>
    </w:p>
    <w:p>
      <w:pPr>
        <w:widowControl/>
        <w:spacing w:line="580" w:lineRule="atLeast"/>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瑞丽市政务服务管理局部门编制2018年部门预算的指导思想、基本原则、编制方法、总体思路等内容如下。</w:t>
      </w:r>
    </w:p>
    <w:p>
      <w:pPr>
        <w:widowControl/>
        <w:spacing w:line="580" w:lineRule="atLeast"/>
        <w:ind w:firstLine="64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（一）指导思想。</w:t>
      </w:r>
      <w:r>
        <w:rPr>
          <w:rFonts w:hint="eastAsia" w:ascii="仿宋" w:hAnsi="仿宋" w:eastAsia="仿宋" w:cs="仿宋"/>
          <w:kern w:val="2"/>
          <w:sz w:val="32"/>
          <w:szCs w:val="32"/>
          <w:lang w:val="en-US" w:eastAsia="zh-CN" w:bidi="ar-SA"/>
        </w:rPr>
        <w:t>以邓小平理论、“三个代表”重要思想、科学发展观为指导，深入学习贯彻党的十九大精神，提高资金使用效益，合理使用财政拨款，确保全年任务的完成。</w:t>
      </w:r>
    </w:p>
    <w:p>
      <w:pPr>
        <w:widowControl/>
        <w:spacing w:line="580" w:lineRule="atLeast"/>
        <w:ind w:firstLine="64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（二）基本原则及编制方法。</w:t>
      </w:r>
      <w:r>
        <w:rPr>
          <w:rFonts w:hint="eastAsia" w:ascii="仿宋" w:hAnsi="仿宋" w:eastAsia="仿宋" w:cs="仿宋"/>
          <w:kern w:val="2"/>
          <w:sz w:val="32"/>
          <w:szCs w:val="32"/>
          <w:lang w:val="en-US" w:eastAsia="zh-CN" w:bidi="ar-SA"/>
        </w:rPr>
        <w:t>严格执行财政预算制度，按照收支平衡原则，从严控制各项支出，既体现实际需要，又考虑财力可能，按照统筹兼顾、突出重点的原则，根据工作目标，安排预算。</w:t>
      </w:r>
    </w:p>
    <w:p>
      <w:pPr>
        <w:widowControl/>
        <w:spacing w:line="580" w:lineRule="atLeast"/>
        <w:ind w:firstLine="640"/>
        <w:jc w:val="left"/>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(三)总体思路。</w:t>
      </w:r>
      <w:r>
        <w:rPr>
          <w:rFonts w:hint="eastAsia" w:ascii="仿宋" w:hAnsi="仿宋" w:eastAsia="仿宋" w:cs="仿宋"/>
          <w:kern w:val="2"/>
          <w:sz w:val="32"/>
          <w:szCs w:val="32"/>
          <w:lang w:val="en-US" w:eastAsia="zh-CN" w:bidi="ar-SA"/>
        </w:rPr>
        <w:t>依据瑞丽市财政局预算编制的总体要求，结合实际，做好部门预算。按照机构编制内实有人数编制人员和公用支出预算，并结合本单位工作职责编制项目支出预算。</w:t>
      </w:r>
    </w:p>
    <w:p>
      <w:pPr>
        <w:spacing w:line="60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三、部门基本情况</w:t>
      </w:r>
    </w:p>
    <w:p>
      <w:pPr>
        <w:spacing w:line="48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纳入2018年部门预算编报的单位共1个，瑞丽市政务服务管理局下设一个副科级行政单位市政务服务管理局畹町经济开发区分局、一个副科级事业单位瑞丽市公共资源交易中心、两个股所级公益一类事业单位瑞丽市政府采购和出让中心、瑞丽市行政审批中心。内设8个股室，即：办公室、监督股、信息技术股、公共资源交易管理股、政策法规股、市场服务股、投资审批股、建设审批股。市政务服务管理局加挂“瑞丽市公共资源交易管理局”、“瑞丽市行政审批局”2块牌子。均为财政全供给单位。</w:t>
      </w:r>
    </w:p>
    <w:p>
      <w:pPr>
        <w:spacing w:line="48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瑞丽市政务服务管理局及下属单位实有在职人员编制数49名，其中：有行政编制数20名（瑞丽市政务服务管理局有编制数6名含工勤编1名，畹町分局有编制5，行政审批局9名）；有事业编制数29名（公共资源交易中心有编制8名，政府采购和出让中心有编制4名，行政审批中心有编制17名）。在职实有54人，均为财政全供养人员。车辆编制1辆，实有车辆1辆。</w:t>
      </w:r>
    </w:p>
    <w:p>
      <w:pPr>
        <w:pStyle w:val="5"/>
        <w:shd w:val="clear" w:color="auto" w:fill="FFFFFF"/>
        <w:spacing w:before="0" w:beforeAutospacing="0" w:after="0" w:afterAutospacing="0" w:line="345" w:lineRule="atLeast"/>
        <w:ind w:firstLine="56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四、2018年部门预算收支情况</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2018年瑞丽市政务服务管理局财政务总收入837.07万元，均为一般公共预算。</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部门财政拨款收入837.07万元，其中，本年收入835.20万元，上年结转收入1.87万元。本年收入中，一般公共预算财政拨款835.20万元（本级财力835.20万元，专项收入0万元，执法办案补助0万元，收费成本补偿0万元，财政专户管理的收入0万元，国有资源（资产）有偿使用收入0万元），政府性基金财政拨款0万元，国有资本经营收益财政拨款0万元。</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部门预算总支出837.07万元，其中：基本支出737.07万元，占总支出的88.05％，项目支出100万元，占总支出的11.95％。按支出功能科目分类，支出分别列“201（类）－03（款）”支出，主要反映政府办公厅（室）及相关机构事务的支出；“208（类）—05（款）”支出，主要反映行政事业单位离退休；“221（类）-02（款）”支出，主要反映行政事业单位用财政拨款资金和其他资金安排的住房改革支出。</w:t>
      </w:r>
    </w:p>
    <w:p>
      <w:pPr>
        <w:pStyle w:val="5"/>
        <w:shd w:val="clear" w:color="auto" w:fill="FFFFFF"/>
        <w:spacing w:before="0" w:beforeAutospacing="0" w:after="0" w:afterAutospacing="0" w:line="345" w:lineRule="atLeast"/>
        <w:ind w:firstLine="56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（一）基本支出情况</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用于保障瑞丽市政务服务管理局机关（含行政审批局、畹町分局）、下属事业单位等机构正常运转的日常支出737.07万元，包括基本工资，津贴补贴等工资福利支出占基本支出的70.32%；办公经费、印刷费、水电费、汽燃费、办公设备购置等日常公用经费占基本支出的29.68％。与上年对比基本支出增加47.52%，增加原因主要是人员增加，工资标准提高，工资福利支出增加，公用经费增加。</w:t>
      </w:r>
    </w:p>
    <w:p>
      <w:pPr>
        <w:pStyle w:val="5"/>
        <w:numPr>
          <w:ilvl w:val="0"/>
          <w:numId w:val="1"/>
        </w:numPr>
        <w:shd w:val="clear" w:color="auto" w:fill="FFFFFF"/>
        <w:spacing w:before="0" w:beforeAutospacing="0" w:after="0" w:afterAutospacing="0" w:line="345" w:lineRule="atLeast"/>
        <w:ind w:firstLine="56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基本支出预算变动的主要原因</w:t>
      </w:r>
    </w:p>
    <w:p>
      <w:pPr>
        <w:pStyle w:val="5"/>
        <w:numPr>
          <w:ilvl w:val="0"/>
          <w:numId w:val="0"/>
        </w:numPr>
        <w:shd w:val="clear" w:color="auto" w:fill="FFFFFF"/>
        <w:spacing w:before="0" w:beforeAutospacing="0" w:after="0" w:afterAutospacing="0" w:line="345" w:lineRule="atLeast"/>
        <w:ind w:firstLine="64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与上年对比基本支出预算增加350.26万元，增加原因主要如下：</w:t>
      </w:r>
    </w:p>
    <w:p>
      <w:pPr>
        <w:pStyle w:val="5"/>
        <w:numPr>
          <w:ilvl w:val="0"/>
          <w:numId w:val="0"/>
        </w:numPr>
        <w:shd w:val="clear" w:color="auto" w:fill="FFFFFF"/>
        <w:spacing w:before="0" w:beforeAutospacing="0" w:after="0" w:afterAutospacing="0" w:line="345" w:lineRule="atLeast"/>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1.成立行政审批局后从11个部门划入24名工作人员，人员工资增加，公用经费增加。</w:t>
      </w:r>
    </w:p>
    <w:p>
      <w:pPr>
        <w:pStyle w:val="5"/>
        <w:numPr>
          <w:ilvl w:val="0"/>
          <w:numId w:val="0"/>
        </w:numPr>
        <w:shd w:val="clear" w:color="auto" w:fill="FFFFFF"/>
        <w:spacing w:before="0" w:beforeAutospacing="0" w:after="0" w:afterAutospacing="0" w:line="345" w:lineRule="atLeast"/>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2.2018年提高工资标准，工资福利支出提高。</w:t>
      </w:r>
    </w:p>
    <w:p>
      <w:pPr>
        <w:pStyle w:val="5"/>
        <w:numPr>
          <w:ilvl w:val="0"/>
          <w:numId w:val="0"/>
        </w:numPr>
        <w:shd w:val="clear" w:color="auto" w:fill="FFFFFF"/>
        <w:spacing w:before="0" w:beforeAutospacing="0" w:after="0" w:afterAutospacing="0" w:line="345" w:lineRule="atLeast"/>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3.成立行政审批局增加行政审批局运行经费。</w:t>
      </w:r>
    </w:p>
    <w:p>
      <w:pPr>
        <w:pStyle w:val="5"/>
        <w:shd w:val="clear" w:color="auto" w:fill="FFFFFF"/>
        <w:spacing w:before="0" w:beforeAutospacing="0" w:after="0" w:afterAutospacing="0" w:line="345" w:lineRule="atLeast"/>
        <w:ind w:firstLine="320" w:firstLineChars="1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（三）项目支出情况</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2018年用于保障政务服务管理局机关（含行政审批局、畹町分局）、下属事业单位等机构为完成特定的行政工作任务，用于专项业务工作的经费支出100万元。如支付行政审批局各种证照的印制费等开支。</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（四）项目支出预算变动的主要原因</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与上年对比减少18万元，减少的原因主要如下：</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1.2018年为民服务站工作经费从项目支出中纳入基本支出预算，项目支出预算减少46万元。</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2.小额工程抽取招标网上数据库建设项目结束，2018年不纳入项目支出预算，项目支出预算减少6万元。</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3.成立行政审批局后，2018年财政新增行政审批局运行经费34万元。</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（五）本级财力支出按功能科目分类情况</w:t>
      </w:r>
    </w:p>
    <w:p>
      <w:pPr>
        <w:pStyle w:val="5"/>
        <w:numPr>
          <w:ilvl w:val="0"/>
          <w:numId w:val="0"/>
        </w:numPr>
        <w:shd w:val="clear" w:color="auto" w:fill="FFFFFF"/>
        <w:spacing w:before="0" w:beforeAutospacing="0" w:after="0" w:afterAutospacing="0" w:line="345" w:lineRule="atLeas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1.一般公共服务支出-政府办公厅（室）及相关机构事务-行政运行616.06万元，主要用于日常办公运行费及相关费用。</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2.一般公共服务支出-政府办公厅（室）及相关机构事务-一般行政管理事务146万元，主要用于日常办公运行费及相关费用。</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3.社会保障和就业支出-行政事业单位离退休-机关事业单位基本养老保险缴费支出75.01万元，主要用于养老保险缴费。</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4.住房保障支出-住房改革支出-住房公积金43.51万元，主要反用于在职职工住房补助支出。</w:t>
      </w:r>
    </w:p>
    <w:p>
      <w:pPr>
        <w:pStyle w:val="5"/>
        <w:numPr>
          <w:ilvl w:val="0"/>
          <w:numId w:val="0"/>
        </w:numPr>
        <w:shd w:val="clear" w:color="auto" w:fill="FFFFFF"/>
        <w:spacing w:before="0" w:beforeAutospacing="0" w:after="0" w:afterAutospacing="0" w:line="345" w:lineRule="atLeas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（六）本级财力支出按经济科目分类情况</w:t>
      </w:r>
    </w:p>
    <w:p>
      <w:pPr>
        <w:pStyle w:val="5"/>
        <w:numPr>
          <w:ilvl w:val="0"/>
          <w:numId w:val="0"/>
        </w:numPr>
        <w:shd w:val="clear" w:color="auto" w:fill="FFFFFF"/>
        <w:spacing w:before="0" w:beforeAutospacing="0" w:after="0" w:afterAutospacing="0" w:line="345" w:lineRule="atLeas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1.工资福利支出556.81万元（其中：基本支出556.81万元，项目支出0万元）。</w:t>
      </w:r>
    </w:p>
    <w:p>
      <w:pPr>
        <w:pStyle w:val="5"/>
        <w:numPr>
          <w:ilvl w:val="0"/>
          <w:numId w:val="0"/>
        </w:numPr>
        <w:shd w:val="clear" w:color="auto" w:fill="FFFFFF"/>
        <w:spacing w:before="0" w:beforeAutospacing="0" w:after="0" w:afterAutospacing="0" w:line="345" w:lineRule="atLeas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2.商品和服务支出258.43万元（其中：基本支出176.43万元，项目支出82万元）。</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3.对个人和家庭的补助1.96万元（基本支出1.96万元，项目支出0万元）。</w:t>
      </w:r>
    </w:p>
    <w:p>
      <w:pPr>
        <w:pStyle w:val="5"/>
        <w:numPr>
          <w:ilvl w:val="0"/>
          <w:numId w:val="0"/>
        </w:numPr>
        <w:shd w:val="clear" w:color="auto" w:fill="FFFFFF"/>
        <w:spacing w:before="0" w:beforeAutospacing="0" w:after="0" w:afterAutospacing="0" w:line="345" w:lineRule="atLeas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4.其他资本性支出18万元（基本支出0万元，项目支出18万元</w:t>
      </w:r>
    </w:p>
    <w:p>
      <w:pPr>
        <w:pStyle w:val="5"/>
        <w:shd w:val="clear" w:color="auto" w:fill="FFFFFF"/>
        <w:spacing w:before="0" w:beforeAutospacing="0" w:after="0" w:afterAutospacing="0" w:line="345" w:lineRule="atLeas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五、机关运行安排情况说明</w:t>
      </w:r>
    </w:p>
    <w:p>
      <w:pPr>
        <w:pStyle w:val="5"/>
        <w:shd w:val="clear" w:color="auto" w:fill="FFFFFF"/>
        <w:spacing w:before="0" w:beforeAutospacing="0" w:after="0" w:afterAutospacing="0" w:line="345" w:lineRule="atLeast"/>
        <w:ind w:firstLine="560"/>
        <w:rPr>
          <w:rFonts w:hint="eastAsia" w:ascii="楷体" w:hAnsi="楷体" w:eastAsia="楷体" w:cs="楷体"/>
          <w:b w:val="0"/>
          <w:bCs w:val="0"/>
          <w:kern w:val="2"/>
          <w:sz w:val="32"/>
          <w:szCs w:val="32"/>
          <w:lang w:val="en-US" w:eastAsia="zh-CN" w:bidi="ar-SA"/>
        </w:rPr>
      </w:pPr>
      <w:r>
        <w:rPr>
          <w:rFonts w:ascii="方正仿宋_GBK" w:hAnsi="方正仿宋_GBK" w:eastAsia="宋体" w:cs="仿宋_GB2312"/>
          <w:kern w:val="2"/>
          <w:sz w:val="32"/>
          <w:szCs w:val="32"/>
          <w:lang w:val="en-US" w:eastAsia="zh-CN" w:bidi="ar-SA"/>
        </w:rPr>
        <w:t xml:space="preserve"> </w:t>
      </w:r>
    </w:p>
    <w:p>
      <w:pPr>
        <w:pStyle w:val="5"/>
        <w:numPr>
          <w:ilvl w:val="0"/>
          <w:numId w:val="0"/>
        </w:numPr>
        <w:shd w:val="clear" w:color="auto" w:fill="FFFFFF"/>
        <w:spacing w:before="0" w:beforeAutospacing="0" w:after="0" w:afterAutospacing="0" w:line="345" w:lineRule="atLeas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b w:val="0"/>
          <w:bCs w:val="0"/>
          <w:kern w:val="2"/>
          <w:sz w:val="32"/>
          <w:szCs w:val="32"/>
          <w:lang w:val="en-US" w:eastAsia="zh-CN" w:bidi="ar-SA"/>
        </w:rPr>
        <w:t>2018年用于机关运行经费支出318.76万元，与上年对比增加42.39万元预算经费，增加原因主要是成立瑞丽市行政审批局后，公用经费及运行经费增加</w:t>
      </w:r>
      <w:r>
        <w:rPr>
          <w:rFonts w:hint="eastAsia" w:ascii="仿宋" w:hAnsi="仿宋" w:eastAsia="仿宋" w:cs="仿宋"/>
          <w:kern w:val="2"/>
          <w:sz w:val="32"/>
          <w:szCs w:val="32"/>
          <w:lang w:val="en-US" w:eastAsia="zh-CN" w:bidi="ar-SA"/>
        </w:rPr>
        <w:t>。</w:t>
      </w:r>
    </w:p>
    <w:p>
      <w:pPr>
        <w:pStyle w:val="5"/>
        <w:shd w:val="clear" w:color="auto" w:fill="FFFFFF"/>
        <w:spacing w:before="0" w:beforeAutospacing="0" w:after="0" w:afterAutospacing="0" w:line="345" w:lineRule="atLeast"/>
        <w:ind w:firstLine="960" w:firstLineChars="3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六、部门预算绩效情况</w:t>
      </w:r>
    </w:p>
    <w:p>
      <w:pPr>
        <w:pStyle w:val="5"/>
        <w:shd w:val="clear" w:color="auto" w:fill="FFFFFF"/>
        <w:spacing w:before="0" w:beforeAutospacing="0" w:after="0" w:afterAutospacing="0" w:line="345" w:lineRule="atLeast"/>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（一）部门整体支出绩效评价情况</w:t>
      </w:r>
    </w:p>
    <w:p>
      <w:pPr>
        <w:pStyle w:val="5"/>
        <w:keepNext w:val="0"/>
        <w:keepLines w:val="0"/>
        <w:widowControl/>
        <w:suppressLineNumbers w:val="0"/>
        <w:adjustRightInd w:val="0"/>
        <w:spacing w:before="76" w:beforeAutospacing="0" w:after="100" w:afterAutospacing="0" w:line="360" w:lineRule="auto"/>
        <w:ind w:left="0" w:right="0" w:firstLine="640" w:firstLineChars="200"/>
        <w:contextualSpacing/>
        <w:jc w:val="both"/>
        <w:rPr>
          <w:rFonts w:hint="eastAsia" w:ascii="仿宋" w:hAnsi="仿宋" w:eastAsia="仿宋" w:cs="仿宋"/>
          <w:sz w:val="32"/>
          <w:szCs w:val="32"/>
        </w:rPr>
      </w:pPr>
      <w:r>
        <w:rPr>
          <w:rFonts w:hint="eastAsia" w:ascii="仿宋" w:hAnsi="仿宋" w:eastAsia="仿宋" w:cs="仿宋"/>
          <w:color w:val="000000"/>
          <w:sz w:val="32"/>
          <w:szCs w:val="32"/>
        </w:rPr>
        <w:t>通过对</w:t>
      </w:r>
      <w:r>
        <w:rPr>
          <w:rFonts w:hint="eastAsia" w:ascii="仿宋" w:hAnsi="仿宋" w:eastAsia="仿宋" w:cs="仿宋"/>
          <w:color w:val="000000"/>
          <w:sz w:val="32"/>
          <w:szCs w:val="32"/>
          <w:lang w:eastAsia="zh-CN"/>
        </w:rPr>
        <w:t>整体</w:t>
      </w:r>
      <w:r>
        <w:rPr>
          <w:rFonts w:hint="eastAsia" w:ascii="仿宋" w:hAnsi="仿宋" w:eastAsia="仿宋" w:cs="仿宋"/>
          <w:color w:val="000000"/>
          <w:sz w:val="32"/>
          <w:szCs w:val="32"/>
        </w:rPr>
        <w:t>支出结果的评价，一是增强了</w:t>
      </w:r>
      <w:r>
        <w:rPr>
          <w:rFonts w:hint="eastAsia" w:ascii="仿宋" w:hAnsi="仿宋" w:eastAsia="仿宋" w:cs="仿宋"/>
          <w:color w:val="000000"/>
          <w:sz w:val="32"/>
          <w:szCs w:val="32"/>
          <w:lang w:eastAsia="zh-CN"/>
        </w:rPr>
        <w:t>部门</w:t>
      </w:r>
      <w:r>
        <w:rPr>
          <w:rFonts w:hint="eastAsia" w:ascii="仿宋" w:hAnsi="仿宋" w:eastAsia="仿宋" w:cs="仿宋"/>
          <w:color w:val="000000"/>
          <w:sz w:val="32"/>
          <w:szCs w:val="32"/>
        </w:rPr>
        <w:t>支出绩效管理观念，促</w:t>
      </w:r>
      <w:r>
        <w:rPr>
          <w:rFonts w:hint="eastAsia" w:ascii="仿宋" w:hAnsi="仿宋" w:eastAsia="仿宋" w:cs="仿宋"/>
          <w:color w:val="000000"/>
          <w:sz w:val="32"/>
          <w:szCs w:val="32"/>
          <w:lang w:eastAsia="zh-CN"/>
        </w:rPr>
        <w:t>使部门支出</w:t>
      </w:r>
      <w:r>
        <w:rPr>
          <w:rFonts w:hint="eastAsia" w:ascii="仿宋" w:hAnsi="仿宋" w:eastAsia="仿宋" w:cs="仿宋"/>
          <w:color w:val="000000"/>
          <w:sz w:val="32"/>
          <w:szCs w:val="32"/>
        </w:rPr>
        <w:t>更加科学有效，提高</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资金</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使用效益和效率；二是强化</w:t>
      </w:r>
      <w:r>
        <w:rPr>
          <w:rFonts w:hint="eastAsia" w:ascii="仿宋" w:hAnsi="仿宋" w:eastAsia="仿宋" w:cs="仿宋"/>
          <w:color w:val="000000"/>
          <w:sz w:val="32"/>
          <w:szCs w:val="32"/>
          <w:lang w:eastAsia="zh-CN"/>
        </w:rPr>
        <w:t>了</w:t>
      </w:r>
      <w:r>
        <w:rPr>
          <w:rFonts w:hint="eastAsia" w:ascii="仿宋" w:hAnsi="仿宋" w:eastAsia="仿宋" w:cs="仿宋"/>
          <w:color w:val="000000"/>
          <w:sz w:val="32"/>
          <w:szCs w:val="32"/>
        </w:rPr>
        <w:t>绩效评价结果的运用，将预算绩效评价结果作为下一年度预算编制的参考依据，将部门预算编制和预算绩效管理相结合，使预算绩效管理和预算编制更加规范化。</w:t>
      </w:r>
    </w:p>
    <w:p>
      <w:pPr>
        <w:pStyle w:val="5"/>
        <w:shd w:val="clear" w:color="auto" w:fill="FFFFFF"/>
        <w:spacing w:before="0" w:beforeAutospacing="0" w:after="0" w:afterAutospacing="0" w:line="345" w:lineRule="atLeast"/>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 xml:space="preserve">（二）部门项目支出绩效目标情况 </w:t>
      </w:r>
    </w:p>
    <w:p>
      <w:pPr>
        <w:spacing w:line="60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通过设定部门项目支出绩效目标，为下年度预算安排提供了决策支持，并进一步增强了本单位支出管理的责任，优化了支出结构，保障了更好地履行职责。</w:t>
      </w:r>
    </w:p>
    <w:p>
      <w:pPr>
        <w:widowControl/>
        <w:overflowPunct w:val="0"/>
        <w:snapToGrid w:val="0"/>
        <w:spacing w:before="100" w:after="100"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七、政府采购预算情况</w:t>
      </w:r>
    </w:p>
    <w:p>
      <w:pPr>
        <w:widowControl/>
        <w:shd w:val="clear" w:color="auto" w:fill="FFFFFF"/>
        <w:spacing w:line="600" w:lineRule="atLeas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根据《中华人民共和国政府采购法》的有关规定，编制了政府采购预算，共涉及采购项目10个，采购预算资金18万元。</w:t>
      </w:r>
    </w:p>
    <w:p>
      <w:pPr>
        <w:pStyle w:val="5"/>
        <w:shd w:val="clear" w:color="auto" w:fill="FFFFFF"/>
        <w:spacing w:before="0" w:beforeAutospacing="0" w:after="0" w:afterAutospacing="0" w:line="345" w:lineRule="atLeas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八、“三公”经费预算情况说明</w:t>
      </w:r>
    </w:p>
    <w:p>
      <w:pPr>
        <w:widowControl/>
        <w:snapToGrid w:val="0"/>
        <w:spacing w:line="580" w:lineRule="atLeast"/>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瑞丽市政务服务管理局2018年财政拨款“三公”经费预算总额4.2万元，其中，因公出国（境）费支出0万元，公务用车购置及运行维护费支出1.9万元，公务接待费支出2.3万元。</w:t>
      </w:r>
    </w:p>
    <w:p>
      <w:pPr>
        <w:widowControl/>
        <w:snapToGrid w:val="0"/>
        <w:spacing w:line="580" w:lineRule="atLeast"/>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2018年“三公”经费预算数比2017年预算数减少2.8万元，减少的主要原因是：公务用车车辆比上年度已减少2辆，严控公务接待次数及公务接待标准。具体情况如下：</w:t>
      </w:r>
    </w:p>
    <w:p>
      <w:pPr>
        <w:pStyle w:val="5"/>
        <w:shd w:val="clear" w:color="auto" w:fill="FFFFFF"/>
        <w:spacing w:before="0" w:beforeAutospacing="0" w:after="0" w:afterAutospacing="0" w:line="345" w:lineRule="atLeast"/>
        <w:ind w:firstLine="56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(一)因公出国(境)费</w:t>
      </w:r>
    </w:p>
    <w:p>
      <w:pPr>
        <w:widowControl/>
        <w:snapToGrid w:val="0"/>
        <w:spacing w:line="580" w:lineRule="atLeast"/>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2018年瑞丽市政务服务管理局因公出国（境）费预算0万元，与上年预算一致。</w:t>
      </w:r>
    </w:p>
    <w:p>
      <w:pPr>
        <w:pStyle w:val="5"/>
        <w:shd w:val="clear" w:color="auto" w:fill="FFFFFF"/>
        <w:spacing w:before="0" w:beforeAutospacing="0" w:after="0" w:afterAutospacing="0" w:line="345" w:lineRule="atLeast"/>
        <w:ind w:firstLine="56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（二）公务用车购置及运行维护费</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瑞丽市政务服务管理局计划购置公务用车0辆，公务用车保有量1辆。公务用车购置及运行维护费1.9万元，其中:购置费0万元，与上年数一致；运行维护费1.9万元，比上年预算减少36.67%，减少原因主要是为降低公务用车运行费，我局对公务用车实行定点维修、定点加油，并严格执节假日公务车辆封存备案制度。主要用于保障行政审批局、公共资源交易中心、政府采购和出让中心工作产生的公务用车燃料费、维修费、过路过桥费、保险费等支出。</w:t>
      </w:r>
    </w:p>
    <w:p>
      <w:pPr>
        <w:pStyle w:val="5"/>
        <w:shd w:val="clear" w:color="auto" w:fill="FFFFFF"/>
        <w:spacing w:before="0" w:beforeAutospacing="0" w:after="0" w:afterAutospacing="0" w:line="345" w:lineRule="atLeast"/>
        <w:ind w:firstLine="56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（三）公务接待费</w:t>
      </w:r>
    </w:p>
    <w:p>
      <w:pPr>
        <w:widowControl/>
        <w:overflowPunct w:val="0"/>
        <w:snapToGrid w:val="0"/>
        <w:spacing w:before="100" w:after="10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2018年瑞丽市政务服务管理局接待开支预算2.3万元，公务接待费比上年预算减少1.7万元，主要用于接待与政务服务管理局、行政审批局、公共资交易中心等工作产生的接待支出。</w:t>
      </w:r>
    </w:p>
    <w:p>
      <w:pPr>
        <w:widowControl/>
        <w:numPr>
          <w:ilvl w:val="0"/>
          <w:numId w:val="2"/>
        </w:numPr>
        <w:overflowPunct w:val="0"/>
        <w:snapToGrid w:val="0"/>
        <w:spacing w:before="100" w:after="100"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省对下专项转移支付情况</w:t>
      </w:r>
    </w:p>
    <w:p>
      <w:pPr>
        <w:widowControl/>
        <w:numPr>
          <w:ilvl w:val="0"/>
          <w:numId w:val="0"/>
        </w:numPr>
        <w:overflowPunct w:val="0"/>
        <w:snapToGrid w:val="0"/>
        <w:spacing w:before="100" w:after="100" w:line="560" w:lineRule="exact"/>
        <w:rPr>
          <w:rFonts w:hint="eastAsia" w:ascii="楷体" w:hAnsi="楷体" w:eastAsia="楷体" w:cs="楷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  </w:t>
      </w:r>
      <w:r>
        <w:rPr>
          <w:rFonts w:hint="eastAsia" w:ascii="楷体" w:hAnsi="楷体" w:eastAsia="楷体" w:cs="楷体"/>
          <w:b w:val="0"/>
          <w:bCs w:val="0"/>
          <w:kern w:val="2"/>
          <w:sz w:val="32"/>
          <w:szCs w:val="32"/>
          <w:lang w:val="en-US" w:eastAsia="zh-CN" w:bidi="ar-SA"/>
        </w:rPr>
        <w:t xml:space="preserve"> （一）列入省对下专项支付项目清单项目情况</w:t>
      </w:r>
    </w:p>
    <w:p>
      <w:pPr>
        <w:widowControl/>
        <w:numPr>
          <w:ilvl w:val="0"/>
          <w:numId w:val="0"/>
        </w:numPr>
        <w:overflowPunct w:val="0"/>
        <w:snapToGrid w:val="0"/>
        <w:spacing w:before="100" w:after="100" w:line="560" w:lineRule="exact"/>
        <w:ind w:firstLine="64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部门列入省对下专项转移支付项目清单项目为：无</w:t>
      </w:r>
    </w:p>
    <w:p>
      <w:pPr>
        <w:widowControl/>
        <w:numPr>
          <w:ilvl w:val="0"/>
          <w:numId w:val="3"/>
        </w:numPr>
        <w:overflowPunct w:val="0"/>
        <w:snapToGrid w:val="0"/>
        <w:spacing w:before="100" w:after="100" w:line="560" w:lineRule="exact"/>
        <w:ind w:firstLine="64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与上级配套事项</w:t>
      </w:r>
    </w:p>
    <w:p>
      <w:pPr>
        <w:widowControl/>
        <w:numPr>
          <w:ilvl w:val="0"/>
          <w:numId w:val="0"/>
        </w:numPr>
        <w:overflowPunct w:val="0"/>
        <w:snapToGrid w:val="0"/>
        <w:spacing w:before="100" w:after="100" w:line="560" w:lineRule="exact"/>
        <w:rPr>
          <w:rFonts w:hint="eastAsia" w:ascii="仿宋" w:hAnsi="仿宋" w:eastAsia="仿宋" w:cs="仿宋"/>
          <w:kern w:val="2"/>
          <w:sz w:val="32"/>
          <w:szCs w:val="32"/>
          <w:lang w:val="en-US" w:eastAsia="zh-CN" w:bidi="ar-SA"/>
        </w:rPr>
      </w:pPr>
      <w:r>
        <w:rPr>
          <w:rFonts w:hint="eastAsia" w:ascii="楷体" w:hAnsi="楷体" w:eastAsia="楷体" w:cs="楷体"/>
          <w:b w:val="0"/>
          <w:bCs w:val="0"/>
          <w:kern w:val="2"/>
          <w:sz w:val="32"/>
          <w:szCs w:val="32"/>
          <w:lang w:val="en-US" w:eastAsia="zh-CN" w:bidi="ar-SA"/>
        </w:rPr>
        <w:t xml:space="preserve">  </w:t>
      </w:r>
      <w:r>
        <w:rPr>
          <w:rFonts w:hint="eastAsia" w:ascii="仿宋" w:hAnsi="仿宋" w:eastAsia="仿宋" w:cs="仿宋"/>
          <w:kern w:val="2"/>
          <w:sz w:val="32"/>
          <w:szCs w:val="32"/>
          <w:lang w:val="en-US" w:eastAsia="zh-CN" w:bidi="ar-SA"/>
        </w:rPr>
        <w:t>一般公共服务支出-政府办公厅（室）及相关机构事务-五级为民服务体系村民小组代办员补助7.7万元，主要用于代办员补助。</w:t>
      </w:r>
    </w:p>
    <w:p>
      <w:pPr>
        <w:widowControl/>
        <w:numPr>
          <w:ilvl w:val="0"/>
          <w:numId w:val="0"/>
        </w:numPr>
        <w:overflowPunct w:val="0"/>
        <w:snapToGrid w:val="0"/>
        <w:spacing w:before="100" w:after="100"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（三）按既定政策标准测算补助事项</w:t>
      </w:r>
    </w:p>
    <w:p>
      <w:pPr>
        <w:widowControl/>
        <w:numPr>
          <w:ilvl w:val="0"/>
          <w:numId w:val="0"/>
        </w:numPr>
        <w:overflowPunct w:val="0"/>
        <w:snapToGrid w:val="0"/>
        <w:spacing w:before="100" w:after="100"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没有按既定政策标准测算补助事项</w:t>
      </w:r>
    </w:p>
    <w:p>
      <w:pPr>
        <w:widowControl/>
        <w:numPr>
          <w:ilvl w:val="0"/>
          <w:numId w:val="0"/>
        </w:numPr>
        <w:overflowPunct w:val="0"/>
        <w:snapToGrid w:val="0"/>
        <w:spacing w:before="100" w:after="100" w:line="560" w:lineRule="exact"/>
        <w:ind w:firstLine="64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（四）功能科目分组，201（类）03（款）01（项）主要用于一般公共服务支出-政府办公厅（室）及相关机构事务-行政运行。</w:t>
      </w:r>
    </w:p>
    <w:p>
      <w:pPr>
        <w:widowControl/>
        <w:overflowPunct w:val="0"/>
        <w:snapToGrid w:val="0"/>
        <w:spacing w:before="100" w:after="100"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十、其他公开信息</w:t>
      </w:r>
    </w:p>
    <w:p>
      <w:pPr>
        <w:widowControl/>
        <w:overflowPunct w:val="0"/>
        <w:snapToGrid w:val="0"/>
        <w:spacing w:before="100" w:after="100"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（一）名词解释</w:t>
      </w:r>
    </w:p>
    <w:p>
      <w:pPr>
        <w:widowControl/>
        <w:shd w:val="clear" w:color="auto" w:fill="FFFFFF"/>
        <w:spacing w:line="600" w:lineRule="atLeast"/>
        <w:ind w:firstLine="320" w:firstLineChars="100"/>
        <w:jc w:val="left"/>
        <w:rPr>
          <w:rFonts w:hint="eastAsia" w:ascii="仿宋" w:hAnsi="仿宋" w:eastAsia="仿宋" w:cs="仿宋"/>
          <w:kern w:val="2"/>
          <w:sz w:val="32"/>
          <w:szCs w:val="32"/>
          <w:lang w:val="en-US" w:eastAsia="zh-CN" w:bidi="ar-SA"/>
        </w:rPr>
      </w:pPr>
      <w:r>
        <w:rPr>
          <w:rFonts w:ascii="方正仿宋_GBK" w:hAnsi="方正仿宋_GBK" w:eastAsia="宋体" w:cs="仿宋_GB2312"/>
          <w:kern w:val="2"/>
          <w:sz w:val="32"/>
          <w:szCs w:val="32"/>
          <w:lang w:val="en-US" w:eastAsia="zh-CN" w:bidi="ar-SA"/>
        </w:rPr>
        <w:t xml:space="preserve"> </w:t>
      </w:r>
      <w:r>
        <w:rPr>
          <w:rFonts w:hint="eastAsia" w:ascii="仿宋" w:hAnsi="仿宋" w:eastAsia="仿宋" w:cs="仿宋"/>
          <w:kern w:val="2"/>
          <w:sz w:val="32"/>
          <w:szCs w:val="32"/>
          <w:lang w:val="en-US" w:eastAsia="zh-CN" w:bidi="ar-SA"/>
        </w:rPr>
        <w:t xml:space="preserve"> “三公”经费：按照党中央、国务院有关文件及部门预算管理有关规定，纳入市级财政预算管理的“三公”经费，是指市级预算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hd w:val="clear" w:color="auto" w:fill="FFFFFF"/>
        <w:spacing w:line="600" w:lineRule="atLeast"/>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“三公”经费预算数：指市级各部门（含下属单位）从年初预算批复中安排用于因公出国（境）费、公务用车购置及运行费、公务接待费的预算数（包括基本支出和项目支出）。</w:t>
      </w:r>
    </w:p>
    <w:p>
      <w:pPr>
        <w:widowControl/>
        <w:shd w:val="clear" w:color="auto" w:fill="FFFFFF"/>
        <w:spacing w:line="600" w:lineRule="atLeast"/>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一般公共服务支出-政府办公厅（室）及相关机构事务-行政运行：反映行政单位（包括实行公务员管理的事业单位）的基本支出。</w:t>
      </w:r>
    </w:p>
    <w:p>
      <w:pPr>
        <w:widowControl/>
        <w:shd w:val="clear" w:color="auto" w:fill="FFFFFF"/>
        <w:spacing w:line="600" w:lineRule="atLeast"/>
        <w:ind w:left="319" w:leftChars="152" w:firstLine="652" w:firstLineChars="204"/>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一般公共服务支出-政府办公厅（室）及相关机构事务一般行政管理事务：反映行政单位（包括实行公务员管理的事业单位）未单独设置项级科目的其他项目支出。</w:t>
      </w:r>
    </w:p>
    <w:p>
      <w:pPr>
        <w:widowControl/>
        <w:shd w:val="clear" w:color="auto" w:fill="FFFFFF"/>
        <w:spacing w:line="600" w:lineRule="atLeast"/>
        <w:ind w:left="319" w:leftChars="152" w:firstLine="652" w:firstLineChars="204"/>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社会保障和就业支出-行政事业单位离退休-机关事业单位基本养老保险缴费支出：反映机关事业单位实施养老保险制度由单位缴纳的基本养老保险费支出。</w:t>
      </w:r>
    </w:p>
    <w:p>
      <w:pPr>
        <w:widowControl/>
        <w:shd w:val="clear" w:color="auto" w:fill="FFFFFF"/>
        <w:spacing w:line="600" w:lineRule="atLeast"/>
        <w:ind w:left="319" w:leftChars="152" w:firstLine="652" w:firstLineChars="204"/>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住房保障支出-住房改革支出-住房公积金：反映行政事业单位用财政拨款资金和其他资金安排的住房改革支出。</w:t>
      </w:r>
    </w:p>
    <w:p>
      <w:pPr>
        <w:widowControl/>
        <w:numPr>
          <w:ilvl w:val="0"/>
          <w:numId w:val="4"/>
        </w:numPr>
        <w:overflowPunct w:val="0"/>
        <w:snapToGrid w:val="0"/>
        <w:spacing w:before="100" w:after="100" w:line="560" w:lineRule="exact"/>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国有资产占用情况</w:t>
      </w:r>
    </w:p>
    <w:p>
      <w:pPr>
        <w:widowControl/>
        <w:shd w:val="clear" w:color="auto" w:fill="FFFFFF"/>
        <w:spacing w:line="600" w:lineRule="atLeast"/>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鉴于截至2017年12月31日国有资产占有使用情况需在完成2017年决算编制统计汇总相关数据，因此，将在公开2017年度部门决算时一并公开部门截至2017年12月31日的国有资产占有使用情况。    </w:t>
      </w:r>
    </w:p>
    <w:p>
      <w:pPr>
        <w:widowControl/>
        <w:shd w:val="clear" w:color="auto" w:fill="FFFFFF"/>
        <w:spacing w:line="600" w:lineRule="atLeast"/>
        <w:ind w:firstLine="64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pStyle w:val="5"/>
        <w:shd w:val="clear" w:color="auto" w:fill="FFFFFF"/>
        <w:spacing w:before="0" w:beforeAutospacing="0" w:after="0" w:afterAutospacing="0" w:line="345" w:lineRule="atLeast"/>
        <w:ind w:firstLine="56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pPr>
        <w:jc w:val="righ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瑞丽市政务服务管理局</w:t>
      </w:r>
    </w:p>
    <w:p>
      <w:pPr>
        <w:jc w:val="center"/>
        <w:rPr>
          <w:rFonts w:ascii="方正仿宋_GBK" w:hAnsi="方正仿宋_GBK" w:eastAsia="宋体" w:cs="仿宋_GB2312"/>
          <w:kern w:val="2"/>
          <w:sz w:val="32"/>
          <w:szCs w:val="32"/>
          <w:lang w:val="en-US" w:eastAsia="zh-CN" w:bidi="ar-SA"/>
        </w:rPr>
      </w:pPr>
      <w:r>
        <w:rPr>
          <w:rFonts w:hint="eastAsia" w:ascii="仿宋" w:hAnsi="仿宋" w:eastAsia="仿宋" w:cs="仿宋"/>
          <w:kern w:val="2"/>
          <w:sz w:val="32"/>
          <w:szCs w:val="32"/>
          <w:lang w:val="en-US" w:eastAsia="zh-CN" w:bidi="ar-SA"/>
        </w:rPr>
        <w:t xml:space="preserve">                              2018年1月28日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EE846"/>
    <w:multiLevelType w:val="singleLevel"/>
    <w:tmpl w:val="5A6EE846"/>
    <w:lvl w:ilvl="0" w:tentative="0">
      <w:start w:val="2"/>
      <w:numFmt w:val="chineseCounting"/>
      <w:suff w:val="nothing"/>
      <w:lvlText w:val="（%1）"/>
      <w:lvlJc w:val="left"/>
    </w:lvl>
  </w:abstractNum>
  <w:abstractNum w:abstractNumId="1">
    <w:nsid w:val="5A6FD0BA"/>
    <w:multiLevelType w:val="singleLevel"/>
    <w:tmpl w:val="5A6FD0BA"/>
    <w:lvl w:ilvl="0" w:tentative="0">
      <w:start w:val="9"/>
      <w:numFmt w:val="chineseCounting"/>
      <w:suff w:val="nothing"/>
      <w:lvlText w:val="%1、"/>
      <w:lvlJc w:val="left"/>
    </w:lvl>
  </w:abstractNum>
  <w:abstractNum w:abstractNumId="2">
    <w:nsid w:val="5A6FD19C"/>
    <w:multiLevelType w:val="singleLevel"/>
    <w:tmpl w:val="5A6FD19C"/>
    <w:lvl w:ilvl="0" w:tentative="0">
      <w:start w:val="2"/>
      <w:numFmt w:val="chineseCounting"/>
      <w:suff w:val="nothing"/>
      <w:lvlText w:val="（%1）"/>
      <w:lvlJc w:val="left"/>
    </w:lvl>
  </w:abstractNum>
  <w:abstractNum w:abstractNumId="3">
    <w:nsid w:val="5A6FD45B"/>
    <w:multiLevelType w:val="singleLevel"/>
    <w:tmpl w:val="5A6FD45B"/>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7074"/>
    <w:rsid w:val="0005750D"/>
    <w:rsid w:val="00091097"/>
    <w:rsid w:val="00232F6A"/>
    <w:rsid w:val="00253F5A"/>
    <w:rsid w:val="0039019E"/>
    <w:rsid w:val="004A7D5B"/>
    <w:rsid w:val="00515D76"/>
    <w:rsid w:val="0068646D"/>
    <w:rsid w:val="009664FF"/>
    <w:rsid w:val="00AB36CE"/>
    <w:rsid w:val="00AF6AF4"/>
    <w:rsid w:val="00BC46DF"/>
    <w:rsid w:val="00C17074"/>
    <w:rsid w:val="00C71BBD"/>
    <w:rsid w:val="00D05989"/>
    <w:rsid w:val="00D14B48"/>
    <w:rsid w:val="00DC4471"/>
    <w:rsid w:val="00E8165E"/>
    <w:rsid w:val="00F86B8A"/>
    <w:rsid w:val="02533D3A"/>
    <w:rsid w:val="02DD3658"/>
    <w:rsid w:val="08256E27"/>
    <w:rsid w:val="0DD9431C"/>
    <w:rsid w:val="0ED500D1"/>
    <w:rsid w:val="0FF96DC3"/>
    <w:rsid w:val="102267B1"/>
    <w:rsid w:val="153554AA"/>
    <w:rsid w:val="17BC1D2A"/>
    <w:rsid w:val="181C719C"/>
    <w:rsid w:val="1A412D7C"/>
    <w:rsid w:val="1A4F4AE5"/>
    <w:rsid w:val="1DD468FE"/>
    <w:rsid w:val="23964704"/>
    <w:rsid w:val="23994A88"/>
    <w:rsid w:val="298747C4"/>
    <w:rsid w:val="2A343257"/>
    <w:rsid w:val="2FA64043"/>
    <w:rsid w:val="35EC4E35"/>
    <w:rsid w:val="36CB0F67"/>
    <w:rsid w:val="395E333C"/>
    <w:rsid w:val="3D9050E1"/>
    <w:rsid w:val="40BB2A8B"/>
    <w:rsid w:val="46C24EAF"/>
    <w:rsid w:val="46DE2234"/>
    <w:rsid w:val="4A4825BD"/>
    <w:rsid w:val="50AB4BFD"/>
    <w:rsid w:val="53860F9C"/>
    <w:rsid w:val="542D358A"/>
    <w:rsid w:val="656F10ED"/>
    <w:rsid w:val="6FE579EF"/>
    <w:rsid w:val="72D33D6F"/>
    <w:rsid w:val="76AF79D6"/>
    <w:rsid w:val="7D01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beforeLines="30" w:after="100" w:afterAutospacing="1"/>
    </w:pPr>
    <w:rPr>
      <w:rFonts w:ascii="仿宋_GB2312" w:hAnsi="仿宋_GB2312" w:cs="宋体"/>
      <w:sz w:val="30"/>
      <w:szCs w:val="30"/>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8">
    <w:name w:val="FollowedHyperlink"/>
    <w:basedOn w:val="7"/>
    <w:unhideWhenUsed/>
    <w:qFormat/>
    <w:uiPriority w:val="99"/>
    <w:rPr>
      <w:color w:val="000000"/>
      <w:sz w:val="18"/>
      <w:szCs w:val="18"/>
      <w:u w:val="none"/>
    </w:rPr>
  </w:style>
  <w:style w:type="character" w:styleId="9">
    <w:name w:val="Emphasis"/>
    <w:basedOn w:val="7"/>
    <w:qFormat/>
    <w:uiPriority w:val="20"/>
  </w:style>
  <w:style w:type="character" w:styleId="10">
    <w:name w:val="Hyperlink"/>
    <w:basedOn w:val="7"/>
    <w:unhideWhenUsed/>
    <w:qFormat/>
    <w:uiPriority w:val="99"/>
    <w:rPr>
      <w:color w:val="000000"/>
      <w:sz w:val="18"/>
      <w:szCs w:val="18"/>
      <w:u w:val="none"/>
    </w:rPr>
  </w:style>
  <w:style w:type="character" w:customStyle="1" w:styleId="11">
    <w:name w:val="正文文本 Char"/>
    <w:basedOn w:val="7"/>
    <w:link w:val="2"/>
    <w:qFormat/>
    <w:uiPriority w:val="99"/>
    <w:rPr>
      <w:rFonts w:ascii="仿宋_GB2312" w:hAnsi="仿宋_GB2312" w:eastAsia="宋体" w:cs="宋体"/>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682</Words>
  <Characters>3893</Characters>
  <Lines>32</Lines>
  <Paragraphs>9</Paragraphs>
  <TotalTime>0</TotalTime>
  <ScaleCrop>false</ScaleCrop>
  <LinksUpToDate>false</LinksUpToDate>
  <CharactersWithSpaces>4566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2018-01-23T03:00:00Z</dcterms:created>
  <dc:creator>FtpDown</dc:creator>
  <cp:lastModifiedBy>hp</cp:lastModifiedBy>
  <cp:lastPrinted>2018-02-01T10:53:00Z</cp:lastPrinted>
  <dcterms:modified xsi:type="dcterms:W3CDTF">2025-01-08T08:28:57Z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96FB1B68CB244943A25ED55A713AD37C</vt:lpwstr>
  </property>
</Properties>
</file>