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7C23BA">
      <w:pPr>
        <w:spacing w:before="133" w:beforeLines="0" w:afterLines="0" w:line="192" w:lineRule="auto"/>
        <w:ind w:left="400"/>
        <w:rPr>
          <w:rFonts w:hint="eastAsia" w:ascii="微软雅黑" w:hAnsi="微软雅黑" w:eastAsia="微软雅黑" w:cs="微软雅黑"/>
          <w:sz w:val="31"/>
          <w:szCs w:val="3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-3"/>
          <w:sz w:val="31"/>
          <w:szCs w:val="31"/>
        </w:rPr>
        <w:t>附件 2</w:t>
      </w:r>
    </w:p>
    <w:p w14:paraId="51AF73B4">
      <w:pPr>
        <w:spacing w:beforeLines="0" w:afterLines="0" w:line="263" w:lineRule="auto"/>
        <w:rPr>
          <w:rFonts w:hint="default"/>
          <w:sz w:val="21"/>
          <w:szCs w:val="21"/>
        </w:rPr>
      </w:pPr>
    </w:p>
    <w:p w14:paraId="19B3078C">
      <w:pPr>
        <w:spacing w:beforeLines="0" w:afterLines="0" w:line="264" w:lineRule="auto"/>
        <w:rPr>
          <w:rFonts w:hint="default"/>
          <w:sz w:val="21"/>
          <w:szCs w:val="21"/>
        </w:rPr>
      </w:pPr>
    </w:p>
    <w:p w14:paraId="2B7E554F">
      <w:pPr>
        <w:spacing w:before="155" w:beforeLines="0" w:afterLines="0" w:line="231" w:lineRule="auto"/>
        <w:ind w:left="2455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20"/>
          <w:sz w:val="40"/>
          <w:szCs w:val="40"/>
        </w:rPr>
        <w:t>财政金融协同促内需民间投资专项担保计划政策一览表</w:t>
      </w:r>
    </w:p>
    <w:p w14:paraId="3DF5F054">
      <w:pPr>
        <w:spacing w:before="72" w:beforeLines="0" w:afterLines="0"/>
        <w:rPr>
          <w:rFonts w:hint="default"/>
          <w:sz w:val="21"/>
          <w:szCs w:val="21"/>
        </w:rPr>
      </w:pPr>
    </w:p>
    <w:p w14:paraId="345525D4">
      <w:pPr>
        <w:spacing w:before="72" w:beforeLines="0" w:afterLines="0"/>
        <w:rPr>
          <w:rFonts w:hint="default"/>
          <w:sz w:val="21"/>
          <w:szCs w:val="21"/>
        </w:rPr>
      </w:pPr>
    </w:p>
    <w:tbl>
      <w:tblPr>
        <w:tblStyle w:val="3"/>
        <w:tblW w:w="13665" w:type="dxa"/>
        <w:tblInd w:w="3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453"/>
        <w:gridCol w:w="3133"/>
        <w:gridCol w:w="1553"/>
        <w:gridCol w:w="3400"/>
        <w:gridCol w:w="2809"/>
      </w:tblGrid>
      <w:tr w14:paraId="55723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63" w:hRule="atLeast"/>
        </w:trPr>
        <w:tc>
          <w:tcPr>
            <w:tcW w:w="1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6A33DC1A">
            <w:pPr>
              <w:spacing w:beforeLines="0" w:afterLines="0" w:line="291" w:lineRule="auto"/>
              <w:rPr>
                <w:rFonts w:hint="default"/>
                <w:sz w:val="21"/>
                <w:szCs w:val="21"/>
              </w:rPr>
            </w:pPr>
          </w:p>
          <w:p w14:paraId="6D3D7ACE">
            <w:pPr>
              <w:spacing w:before="103" w:beforeLines="0" w:afterLines="0" w:line="187" w:lineRule="auto"/>
              <w:ind w:left="18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执行期限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25E887EA">
            <w:pPr>
              <w:spacing w:beforeLines="0" w:afterLines="0" w:line="292" w:lineRule="auto"/>
              <w:rPr>
                <w:rFonts w:hint="default"/>
                <w:sz w:val="21"/>
                <w:szCs w:val="21"/>
              </w:rPr>
            </w:pPr>
          </w:p>
          <w:p w14:paraId="1A9631A2">
            <w:pPr>
              <w:spacing w:before="103" w:beforeLines="0" w:afterLines="0" w:line="187" w:lineRule="auto"/>
              <w:ind w:left="25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支持对象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6ABC9E56">
            <w:pPr>
              <w:spacing w:beforeLines="0" w:afterLines="0" w:line="291" w:lineRule="auto"/>
              <w:rPr>
                <w:rFonts w:hint="default"/>
                <w:sz w:val="21"/>
                <w:szCs w:val="21"/>
              </w:rPr>
            </w:pPr>
          </w:p>
          <w:p w14:paraId="6883FDE6">
            <w:pPr>
              <w:spacing w:before="103" w:beforeLines="0" w:afterLines="0" w:line="188" w:lineRule="auto"/>
              <w:ind w:left="109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担保范围</w:t>
            </w:r>
          </w:p>
        </w:tc>
        <w:tc>
          <w:tcPr>
            <w:tcW w:w="1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96AEBDD">
            <w:pPr>
              <w:spacing w:beforeLines="0" w:afterLines="0" w:line="292" w:lineRule="auto"/>
              <w:rPr>
                <w:rFonts w:hint="default"/>
                <w:sz w:val="21"/>
                <w:szCs w:val="21"/>
              </w:rPr>
            </w:pPr>
          </w:p>
          <w:p w14:paraId="456B0AAA">
            <w:pPr>
              <w:spacing w:before="103" w:beforeLines="0" w:afterLines="0" w:line="186" w:lineRule="auto"/>
              <w:ind w:left="30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担保额度</w:t>
            </w:r>
          </w:p>
        </w:tc>
        <w:tc>
          <w:tcPr>
            <w:tcW w:w="3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6CC6C9BE">
            <w:pPr>
              <w:spacing w:beforeLines="0" w:afterLines="0" w:line="292" w:lineRule="auto"/>
              <w:rPr>
                <w:rFonts w:hint="default"/>
                <w:sz w:val="21"/>
                <w:szCs w:val="21"/>
              </w:rPr>
            </w:pPr>
          </w:p>
          <w:p w14:paraId="0D845962">
            <w:pPr>
              <w:spacing w:before="103" w:beforeLines="0" w:afterLines="0" w:line="187" w:lineRule="auto"/>
              <w:ind w:left="123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分险比例</w:t>
            </w:r>
          </w:p>
        </w:tc>
        <w:tc>
          <w:tcPr>
            <w:tcW w:w="2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26E17476">
            <w:pPr>
              <w:spacing w:beforeLines="0" w:afterLines="0" w:line="292" w:lineRule="auto"/>
              <w:rPr>
                <w:rFonts w:hint="default"/>
                <w:sz w:val="21"/>
                <w:szCs w:val="21"/>
              </w:rPr>
            </w:pPr>
          </w:p>
          <w:p w14:paraId="5D397EF8">
            <w:pPr>
              <w:spacing w:before="103" w:beforeLines="0" w:afterLines="0" w:line="187" w:lineRule="auto"/>
              <w:ind w:left="92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担保费率</w:t>
            </w:r>
          </w:p>
        </w:tc>
      </w:tr>
      <w:tr w14:paraId="1304C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461" w:hRule="atLeast"/>
        </w:trPr>
        <w:tc>
          <w:tcPr>
            <w:tcW w:w="1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BA0BC91">
            <w:pPr>
              <w:spacing w:beforeLines="0" w:afterLines="0" w:line="264" w:lineRule="auto"/>
              <w:rPr>
                <w:rFonts w:hint="default"/>
                <w:sz w:val="21"/>
                <w:szCs w:val="21"/>
              </w:rPr>
            </w:pPr>
          </w:p>
          <w:p w14:paraId="6C61E82C">
            <w:pPr>
              <w:spacing w:beforeLines="0" w:afterLines="0" w:line="265" w:lineRule="auto"/>
              <w:rPr>
                <w:rFonts w:hint="default"/>
                <w:sz w:val="21"/>
                <w:szCs w:val="21"/>
              </w:rPr>
            </w:pPr>
          </w:p>
          <w:p w14:paraId="26F40C52">
            <w:pPr>
              <w:spacing w:beforeLines="0" w:afterLines="0" w:line="265" w:lineRule="auto"/>
              <w:rPr>
                <w:rFonts w:hint="default"/>
                <w:sz w:val="21"/>
                <w:szCs w:val="21"/>
              </w:rPr>
            </w:pPr>
          </w:p>
          <w:p w14:paraId="28BD8969">
            <w:pPr>
              <w:spacing w:beforeLines="0" w:afterLines="0" w:line="265" w:lineRule="auto"/>
              <w:rPr>
                <w:rFonts w:hint="default"/>
                <w:sz w:val="21"/>
                <w:szCs w:val="21"/>
              </w:rPr>
            </w:pPr>
          </w:p>
          <w:p w14:paraId="4EFA054E">
            <w:pPr>
              <w:spacing w:beforeLines="0" w:afterLines="0" w:line="265" w:lineRule="auto"/>
              <w:rPr>
                <w:rFonts w:hint="default"/>
                <w:sz w:val="21"/>
                <w:szCs w:val="21"/>
              </w:rPr>
            </w:pPr>
          </w:p>
          <w:p w14:paraId="15C7B7F5">
            <w:pPr>
              <w:spacing w:beforeLines="0" w:afterLines="0" w:line="265" w:lineRule="auto"/>
              <w:rPr>
                <w:rFonts w:hint="default"/>
                <w:sz w:val="21"/>
                <w:szCs w:val="21"/>
              </w:rPr>
            </w:pPr>
          </w:p>
          <w:p w14:paraId="4D1283A2">
            <w:pPr>
              <w:spacing w:beforeLines="0" w:afterLines="0" w:line="265" w:lineRule="auto"/>
              <w:rPr>
                <w:rFonts w:hint="default"/>
                <w:sz w:val="21"/>
                <w:szCs w:val="21"/>
              </w:rPr>
            </w:pPr>
          </w:p>
          <w:p w14:paraId="5AAA0392">
            <w:pPr>
              <w:pStyle w:val="5"/>
              <w:spacing w:before="78" w:beforeLines="0" w:afterLines="0" w:line="217" w:lineRule="auto"/>
              <w:ind w:left="158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2026</w:t>
            </w:r>
            <w:r>
              <w:rPr>
                <w:rFonts w:hint="eastAsia"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szCs w:val="24"/>
              </w:rPr>
              <w:t>年—</w:t>
            </w:r>
          </w:p>
          <w:p w14:paraId="2E7633A8">
            <w:pPr>
              <w:pStyle w:val="5"/>
              <w:spacing w:before="118" w:beforeLines="0" w:afterLines="0" w:line="217" w:lineRule="auto"/>
              <w:ind w:left="278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2027</w:t>
            </w:r>
            <w:r>
              <w:rPr>
                <w:rFonts w:hint="eastAsia"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3"/>
                <w:sz w:val="24"/>
                <w:szCs w:val="24"/>
              </w:rPr>
              <w:t>年</w:t>
            </w:r>
          </w:p>
        </w:tc>
        <w:tc>
          <w:tcPr>
            <w:tcW w:w="1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47C622B">
            <w:pPr>
              <w:spacing w:beforeLines="0" w:afterLines="0" w:line="286" w:lineRule="auto"/>
              <w:rPr>
                <w:rFonts w:hint="default"/>
                <w:sz w:val="21"/>
                <w:szCs w:val="21"/>
              </w:rPr>
            </w:pPr>
          </w:p>
          <w:p w14:paraId="0C6BA21C">
            <w:pPr>
              <w:spacing w:beforeLines="0" w:afterLines="0" w:line="286" w:lineRule="auto"/>
              <w:rPr>
                <w:rFonts w:hint="default"/>
                <w:sz w:val="21"/>
                <w:szCs w:val="21"/>
              </w:rPr>
            </w:pPr>
          </w:p>
          <w:p w14:paraId="25CAAD0C">
            <w:pPr>
              <w:spacing w:beforeLines="0" w:afterLines="0" w:line="287" w:lineRule="auto"/>
              <w:rPr>
                <w:rFonts w:hint="default"/>
                <w:sz w:val="21"/>
                <w:szCs w:val="21"/>
              </w:rPr>
            </w:pPr>
          </w:p>
          <w:p w14:paraId="1FC130AF">
            <w:pPr>
              <w:pStyle w:val="5"/>
              <w:spacing w:before="78" w:beforeLines="0" w:afterLines="0" w:line="308" w:lineRule="auto"/>
              <w:ind w:left="109" w:right="106" w:firstLine="31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7"/>
                <w:sz w:val="24"/>
                <w:szCs w:val="24"/>
              </w:rPr>
              <w:t>中</w:t>
            </w:r>
            <w:r>
              <w:rPr>
                <w:rFonts w:hint="eastAsia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7"/>
                <w:sz w:val="24"/>
                <w:szCs w:val="24"/>
              </w:rPr>
              <w:t>小</w:t>
            </w:r>
            <w:r>
              <w:rPr>
                <w:rFonts w:hint="eastAsia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7"/>
                <w:sz w:val="24"/>
                <w:szCs w:val="24"/>
              </w:rPr>
              <w:t>微</w:t>
            </w:r>
            <w:r>
              <w:rPr>
                <w:rFonts w:hint="eastAsia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7"/>
                <w:sz w:val="24"/>
                <w:szCs w:val="24"/>
              </w:rPr>
              <w:t>企</w:t>
            </w:r>
            <w:r>
              <w:rPr>
                <w:rFonts w:hint="eastAsia"/>
                <w:spacing w:val="6"/>
                <w:sz w:val="24"/>
                <w:szCs w:val="24"/>
              </w:rPr>
              <w:t>业、中小微非企业经济组织，个体工商户，小</w:t>
            </w:r>
            <w:r>
              <w:rPr>
                <w:rFonts w:hint="eastAsia"/>
                <w:spacing w:val="4"/>
                <w:sz w:val="24"/>
                <w:szCs w:val="24"/>
              </w:rPr>
              <w:t>微企业主，</w:t>
            </w:r>
            <w:r>
              <w:rPr>
                <w:rFonts w:hint="eastAsia"/>
                <w:spacing w:val="-2"/>
                <w:sz w:val="24"/>
                <w:szCs w:val="24"/>
              </w:rPr>
              <w:t>农户</w:t>
            </w:r>
          </w:p>
        </w:tc>
        <w:tc>
          <w:tcPr>
            <w:tcW w:w="3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349B234">
            <w:pPr>
              <w:pStyle w:val="5"/>
              <w:spacing w:before="146" w:beforeLines="0" w:afterLines="0" w:line="301" w:lineRule="auto"/>
              <w:ind w:left="114" w:right="33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24"/>
                <w:sz w:val="24"/>
                <w:szCs w:val="24"/>
              </w:rPr>
              <w:t>用于支持购买设备及原材</w:t>
            </w:r>
            <w:r>
              <w:rPr>
                <w:rFonts w:hint="eastAsia"/>
                <w:spacing w:val="2"/>
                <w:sz w:val="24"/>
                <w:szCs w:val="24"/>
              </w:rPr>
              <w:t>料、技术改造、中小企业数智化改造（含购买硬件设备</w:t>
            </w:r>
            <w:r>
              <w:rPr>
                <w:rFonts w:hint="eastAsia"/>
                <w:spacing w:val="-11"/>
                <w:sz w:val="24"/>
                <w:szCs w:val="24"/>
              </w:rPr>
              <w:t>和软件系统）、改扩建厂房、</w:t>
            </w:r>
            <w:r>
              <w:rPr>
                <w:rFonts w:hint="eastAsia"/>
                <w:spacing w:val="2"/>
                <w:sz w:val="24"/>
                <w:szCs w:val="24"/>
              </w:rPr>
              <w:t>店面装修、经营周转等生产</w:t>
            </w:r>
            <w:r>
              <w:rPr>
                <w:rFonts w:hint="eastAsia"/>
                <w:spacing w:val="-2"/>
                <w:sz w:val="24"/>
                <w:szCs w:val="24"/>
              </w:rPr>
              <w:t>经营活动，</w:t>
            </w:r>
            <w:r>
              <w:rPr>
                <w:rFonts w:hint="eastAsia"/>
                <w:spacing w:val="-6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sz w:val="24"/>
                <w:szCs w:val="24"/>
              </w:rPr>
              <w:t>以及用于餐饮住</w:t>
            </w:r>
            <w:r>
              <w:rPr>
                <w:rFonts w:hint="eastAsia"/>
                <w:spacing w:val="2"/>
                <w:sz w:val="24"/>
                <w:szCs w:val="24"/>
              </w:rPr>
              <w:t>宿、健康、养老、托育、家</w:t>
            </w:r>
            <w:r>
              <w:rPr>
                <w:rFonts w:hint="eastAsia"/>
                <w:spacing w:val="-11"/>
                <w:sz w:val="24"/>
                <w:szCs w:val="24"/>
              </w:rPr>
              <w:t>政、文化娱乐、旅游、体育、</w:t>
            </w:r>
            <w:r>
              <w:rPr>
                <w:rFonts w:hint="eastAsia"/>
                <w:spacing w:val="2"/>
                <w:sz w:val="24"/>
                <w:szCs w:val="24"/>
              </w:rPr>
              <w:t>绿色、数字、零售等消费领域场景拓展和升级改造的中</w:t>
            </w:r>
            <w:r>
              <w:rPr>
                <w:rFonts w:hint="eastAsia"/>
                <w:spacing w:val="-2"/>
                <w:sz w:val="24"/>
                <w:szCs w:val="24"/>
              </w:rPr>
              <w:t>长期贷款</w:t>
            </w:r>
          </w:p>
        </w:tc>
        <w:tc>
          <w:tcPr>
            <w:tcW w:w="1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35B550D">
            <w:pPr>
              <w:spacing w:beforeLines="0" w:afterLines="0" w:line="276" w:lineRule="auto"/>
              <w:rPr>
                <w:rFonts w:hint="default"/>
                <w:sz w:val="21"/>
                <w:szCs w:val="21"/>
              </w:rPr>
            </w:pPr>
          </w:p>
          <w:p w14:paraId="11EF978C">
            <w:pPr>
              <w:spacing w:beforeLines="0" w:afterLines="0" w:line="276" w:lineRule="auto"/>
              <w:rPr>
                <w:rFonts w:hint="default"/>
                <w:sz w:val="21"/>
                <w:szCs w:val="21"/>
              </w:rPr>
            </w:pPr>
          </w:p>
          <w:p w14:paraId="27F57D62">
            <w:pPr>
              <w:spacing w:beforeLines="0" w:afterLines="0" w:line="276" w:lineRule="auto"/>
              <w:rPr>
                <w:rFonts w:hint="default"/>
                <w:sz w:val="21"/>
                <w:szCs w:val="21"/>
              </w:rPr>
            </w:pPr>
          </w:p>
          <w:p w14:paraId="715C7D4F">
            <w:pPr>
              <w:spacing w:beforeLines="0" w:afterLines="0" w:line="276" w:lineRule="auto"/>
              <w:rPr>
                <w:rFonts w:hint="default"/>
                <w:sz w:val="21"/>
                <w:szCs w:val="21"/>
              </w:rPr>
            </w:pPr>
          </w:p>
          <w:p w14:paraId="141BF2F2">
            <w:pPr>
              <w:spacing w:beforeLines="0" w:afterLines="0" w:line="276" w:lineRule="auto"/>
              <w:rPr>
                <w:rFonts w:hint="default"/>
                <w:sz w:val="21"/>
                <w:szCs w:val="21"/>
              </w:rPr>
            </w:pPr>
          </w:p>
          <w:p w14:paraId="71B52972">
            <w:pPr>
              <w:spacing w:beforeLines="0" w:afterLines="0" w:line="276" w:lineRule="auto"/>
              <w:rPr>
                <w:rFonts w:hint="default"/>
                <w:sz w:val="21"/>
                <w:szCs w:val="21"/>
              </w:rPr>
            </w:pPr>
          </w:p>
          <w:p w14:paraId="06515D57">
            <w:pPr>
              <w:pStyle w:val="5"/>
              <w:spacing w:before="78" w:beforeLines="0" w:afterLines="0" w:line="308" w:lineRule="auto"/>
              <w:ind w:left="112" w:right="104" w:firstLine="8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24"/>
                <w:sz w:val="24"/>
                <w:szCs w:val="24"/>
              </w:rPr>
              <w:t>单户授信担</w:t>
            </w:r>
            <w:r>
              <w:rPr>
                <w:rFonts w:hint="eastAsia"/>
                <w:spacing w:val="26"/>
                <w:sz w:val="24"/>
                <w:szCs w:val="24"/>
              </w:rPr>
              <w:t>保额度不高</w:t>
            </w:r>
            <w:r>
              <w:rPr>
                <w:rFonts w:hint="eastAsia"/>
                <w:spacing w:val="-5"/>
                <w:sz w:val="24"/>
                <w:szCs w:val="24"/>
              </w:rPr>
              <w:t>于</w:t>
            </w:r>
            <w:r>
              <w:rPr>
                <w:rFonts w:hint="eastAsia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2000</w:t>
            </w:r>
            <w:r>
              <w:rPr>
                <w:rFonts w:hint="eastAsia"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5"/>
                <w:sz w:val="24"/>
                <w:szCs w:val="24"/>
              </w:rPr>
              <w:t>万元</w:t>
            </w:r>
          </w:p>
        </w:tc>
        <w:tc>
          <w:tcPr>
            <w:tcW w:w="3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5F8AA09">
            <w:pPr>
              <w:spacing w:beforeLines="0" w:afterLines="0" w:line="264" w:lineRule="auto"/>
              <w:rPr>
                <w:rFonts w:hint="default"/>
                <w:sz w:val="21"/>
                <w:szCs w:val="21"/>
              </w:rPr>
            </w:pPr>
          </w:p>
          <w:p w14:paraId="0956A5DF">
            <w:pPr>
              <w:pStyle w:val="5"/>
              <w:spacing w:before="78" w:beforeLines="0" w:afterLines="0" w:line="308" w:lineRule="auto"/>
              <w:ind w:left="110" w:right="48" w:firstLine="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pacing w:val="-9"/>
                <w:sz w:val="24"/>
                <w:szCs w:val="24"/>
              </w:rPr>
              <w:t>银行分险比例不低于</w:t>
            </w:r>
            <w:r>
              <w:rPr>
                <w:rFonts w:hint="eastAsia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20%</w:t>
            </w:r>
            <w:r>
              <w:rPr>
                <w:rFonts w:hint="eastAsia"/>
                <w:spacing w:val="-9"/>
                <w:sz w:val="24"/>
                <w:szCs w:val="24"/>
              </w:rPr>
              <w:t>，政府</w:t>
            </w:r>
            <w:r>
              <w:rPr>
                <w:rFonts w:hint="eastAsia"/>
                <w:spacing w:val="4"/>
                <w:sz w:val="24"/>
                <w:szCs w:val="24"/>
              </w:rPr>
              <w:t>性融资担保体系分险比例不高</w:t>
            </w:r>
            <w:r>
              <w:rPr>
                <w:rFonts w:hint="eastAsia"/>
                <w:spacing w:val="-9"/>
                <w:sz w:val="24"/>
                <w:szCs w:val="24"/>
              </w:rPr>
              <w:t>于</w:t>
            </w:r>
            <w:r>
              <w:rPr>
                <w:rFonts w:hint="eastAsia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80%</w:t>
            </w:r>
            <w:r>
              <w:rPr>
                <w:rFonts w:hint="eastAsia"/>
                <w:spacing w:val="-9"/>
                <w:sz w:val="24"/>
                <w:szCs w:val="24"/>
              </w:rPr>
              <w:t>，其中国家融资担保基金</w:t>
            </w:r>
            <w:r>
              <w:rPr>
                <w:rFonts w:hint="eastAsia"/>
                <w:spacing w:val="4"/>
                <w:sz w:val="24"/>
                <w:szCs w:val="24"/>
              </w:rPr>
              <w:t>按照贷款期限分档设置分险比</w:t>
            </w:r>
            <w:r>
              <w:rPr>
                <w:rFonts w:hint="eastAsia"/>
                <w:sz w:val="24"/>
                <w:szCs w:val="24"/>
              </w:rPr>
              <w:t>例，具体是：对超过</w:t>
            </w:r>
            <w:r>
              <w:rPr>
                <w:rFonts w:hint="eastAsia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年但不</w:t>
            </w:r>
            <w:r>
              <w:rPr>
                <w:rFonts w:hint="eastAsia"/>
                <w:spacing w:val="1"/>
                <w:sz w:val="24"/>
                <w:szCs w:val="24"/>
              </w:rPr>
              <w:t>超过</w:t>
            </w:r>
            <w:r>
              <w:rPr>
                <w:rFonts w:hint="eastAsia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"/>
                <w:sz w:val="24"/>
                <w:szCs w:val="24"/>
              </w:rPr>
              <w:t>年的贷款分险比例不超</w:t>
            </w:r>
            <w:r>
              <w:rPr>
                <w:rFonts w:hint="eastAsia"/>
                <w:spacing w:val="-8"/>
                <w:sz w:val="24"/>
                <w:szCs w:val="24"/>
              </w:rPr>
              <w:t>过</w:t>
            </w:r>
            <w:r>
              <w:rPr>
                <w:rFonts w:hint="eastAsia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30%</w:t>
            </w:r>
            <w:r>
              <w:rPr>
                <w:rFonts w:hint="eastAsia"/>
                <w:spacing w:val="-8"/>
                <w:sz w:val="24"/>
                <w:szCs w:val="24"/>
              </w:rPr>
              <w:t>，对超过</w:t>
            </w:r>
            <w:r>
              <w:rPr>
                <w:rFonts w:hint="eastAsia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8"/>
                <w:sz w:val="24"/>
                <w:szCs w:val="24"/>
              </w:rPr>
              <w:t>年但不超过</w:t>
            </w:r>
            <w:r>
              <w:rPr>
                <w:rFonts w:hint="eastAsia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5</w:t>
            </w:r>
            <w:r>
              <w:rPr>
                <w:rFonts w:hint="eastAsia"/>
                <w:spacing w:val="-6"/>
                <w:sz w:val="24"/>
                <w:szCs w:val="24"/>
              </w:rPr>
              <w:t>年的贷款分险比例不超过</w:t>
            </w:r>
            <w:r>
              <w:rPr>
                <w:rFonts w:hint="eastAsia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35%</w:t>
            </w:r>
            <w:r>
              <w:rPr>
                <w:rFonts w:hint="eastAsia"/>
                <w:spacing w:val="-6"/>
                <w:sz w:val="24"/>
                <w:szCs w:val="24"/>
              </w:rPr>
              <w:t>，</w:t>
            </w:r>
            <w:r>
              <w:rPr>
                <w:rFonts w:hint="eastAsia"/>
                <w:spacing w:val="1"/>
                <w:sz w:val="24"/>
                <w:szCs w:val="24"/>
              </w:rPr>
              <w:t>对超过</w:t>
            </w:r>
            <w:r>
              <w:rPr>
                <w:rFonts w:hint="eastAsia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"/>
                <w:sz w:val="24"/>
                <w:szCs w:val="24"/>
              </w:rPr>
              <w:t>年的贷款分险比例不</w:t>
            </w:r>
            <w:r>
              <w:rPr>
                <w:rFonts w:hint="eastAsia"/>
                <w:spacing w:val="-3"/>
                <w:sz w:val="24"/>
                <w:szCs w:val="24"/>
              </w:rPr>
              <w:t>超过</w:t>
            </w:r>
            <w:r>
              <w:rPr>
                <w:rFonts w:hint="eastAsia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40%</w:t>
            </w:r>
          </w:p>
        </w:tc>
        <w:tc>
          <w:tcPr>
            <w:tcW w:w="2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05549A7">
            <w:pPr>
              <w:spacing w:beforeLines="0" w:afterLines="0" w:line="332" w:lineRule="auto"/>
              <w:rPr>
                <w:rFonts w:hint="default"/>
                <w:sz w:val="21"/>
                <w:szCs w:val="21"/>
              </w:rPr>
            </w:pPr>
          </w:p>
          <w:p w14:paraId="0A66D554">
            <w:pPr>
              <w:spacing w:beforeLines="0" w:afterLines="0" w:line="333" w:lineRule="auto"/>
              <w:rPr>
                <w:rFonts w:hint="default"/>
                <w:sz w:val="21"/>
                <w:szCs w:val="21"/>
              </w:rPr>
            </w:pPr>
          </w:p>
          <w:p w14:paraId="27C7BC55">
            <w:pPr>
              <w:pStyle w:val="5"/>
              <w:spacing w:before="78" w:beforeLines="0" w:afterLines="0" w:line="308" w:lineRule="auto"/>
              <w:ind w:left="113" w:right="107" w:firstLine="3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中央财政支持融担基金</w:t>
            </w:r>
            <w:r>
              <w:rPr>
                <w:rFonts w:hint="eastAsia"/>
                <w:spacing w:val="18"/>
                <w:sz w:val="24"/>
                <w:szCs w:val="24"/>
              </w:rPr>
              <w:t>降低再担保费并给予降</w:t>
            </w:r>
            <w:r>
              <w:rPr>
                <w:rFonts w:hint="eastAsia"/>
                <w:spacing w:val="-6"/>
                <w:sz w:val="24"/>
                <w:szCs w:val="24"/>
              </w:rPr>
              <w:t>费补贴，融担基金再担保费减半收取，推动层层传导至直保机构，切实降低</w:t>
            </w:r>
            <w:r>
              <w:rPr>
                <w:rFonts w:hint="eastAsia"/>
                <w:spacing w:val="18"/>
                <w:sz w:val="24"/>
                <w:szCs w:val="24"/>
              </w:rPr>
              <w:t>民营企业实际承担的担</w:t>
            </w:r>
            <w:r>
              <w:rPr>
                <w:rFonts w:hint="eastAsia"/>
                <w:spacing w:val="-6"/>
                <w:sz w:val="24"/>
                <w:szCs w:val="24"/>
              </w:rPr>
              <w:t>保费，直保机构担保费率</w:t>
            </w:r>
            <w:r>
              <w:rPr>
                <w:rFonts w:hint="eastAsia"/>
                <w:spacing w:val="-4"/>
                <w:sz w:val="24"/>
                <w:szCs w:val="24"/>
              </w:rPr>
              <w:t>不得超过</w:t>
            </w:r>
            <w:r>
              <w:rPr>
                <w:rFonts w:hint="eastAsia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1%</w:t>
            </w:r>
          </w:p>
        </w:tc>
      </w:tr>
    </w:tbl>
    <w:p w14:paraId="0436B995">
      <w:pPr>
        <w:spacing w:beforeLines="0" w:afterLines="0"/>
        <w:rPr>
          <w:rFonts w:hint="default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3013B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kinsoku w:val="0"/>
      <w:autoSpaceDE w:val="0"/>
      <w:autoSpaceDN w:val="0"/>
      <w:adjustRightInd w:val="0"/>
      <w:snapToGrid w:val="0"/>
      <w:spacing w:beforeLines="0" w:afterLines="0"/>
      <w:textAlignment w:val="baseline"/>
    </w:pPr>
    <w:rPr>
      <w:rFonts w:hint="default" w:ascii="Arial" w:hAnsi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unhideWhenUsed/>
    <w:uiPriority w:val="0"/>
    <w:rPr>
      <w:rFonts w:hint="default"/>
      <w:sz w:val="24"/>
      <w:szCs w:val="24"/>
    </w:rPr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0" w:afterLines="0"/>
    </w:pPr>
    <w:rPr>
      <w:rFonts w:hint="eastAsia" w:ascii="宋体" w:hAnsi="宋体" w:eastAsia="宋体" w:cs="宋体"/>
      <w:sz w:val="83"/>
      <w:szCs w:val="83"/>
    </w:rPr>
  </w:style>
  <w:style w:type="paragraph" w:customStyle="1" w:styleId="5">
    <w:name w:val="Table Text"/>
    <w:basedOn w:val="1"/>
    <w:unhideWhenUsed/>
    <w:qFormat/>
    <w:uiPriority w:val="0"/>
    <w:pPr>
      <w:spacing w:beforeLines="0" w:afterLines="0"/>
    </w:pPr>
    <w:rPr>
      <w:rFonts w:hint="eastAsia" w:ascii="FangSong_GB2312" w:hAnsi="FangSong_GB2312" w:eastAsia="FangSong_GB2312" w:cs="FangSong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425</Words>
  <Characters>445</Characters>
  <TotalTime>0</TotalTime>
  <ScaleCrop>false</ScaleCrop>
  <LinksUpToDate>false</LinksUpToDate>
  <CharactersWithSpaces>469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2026-03-11T09:51:29Z</dcterms:created>
  <dc:creator>Administrator</dc:creator>
  <cp:lastModifiedBy>王红梅</cp:lastModifiedBy>
  <dcterms:modified xsi:type="dcterms:W3CDTF">2026-03-11T09:51:37Z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8E2955AA5D9D405590B4AD863574642D_13</vt:lpwstr>
  </property>
</Properties>
</file>